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CellSpacing w:w="0" w:type="dxa"/>
        <w:shd w:val="clear" w:color="auto" w:fill="305E76"/>
        <w:tblLayout w:type="fixed"/>
        <w:tblCellMar>
          <w:left w:w="0" w:type="dxa"/>
          <w:right w:w="0" w:type="dxa"/>
        </w:tblCellMar>
        <w:tblLook w:val="04A0" w:firstRow="1" w:lastRow="0" w:firstColumn="1" w:lastColumn="0" w:noHBand="0" w:noVBand="1"/>
      </w:tblPr>
      <w:tblGrid>
        <w:gridCol w:w="364"/>
        <w:gridCol w:w="1976"/>
        <w:gridCol w:w="7020"/>
      </w:tblGrid>
      <w:tr w:rsidR="00BF7902" w:rsidRPr="00BF7902" w:rsidTr="0022072B">
        <w:trPr>
          <w:tblCellSpacing w:w="0" w:type="dxa"/>
          <w:jc w:val="center"/>
        </w:trPr>
        <w:tc>
          <w:tcPr>
            <w:tcW w:w="9360" w:type="dxa"/>
            <w:gridSpan w:val="3"/>
            <w:shd w:val="clear" w:color="auto" w:fill="305E76"/>
            <w:vAlign w:val="center"/>
            <w:hideMark/>
          </w:tcPr>
          <w:p w:rsidR="00BF7902" w:rsidRPr="00BF7902" w:rsidRDefault="00BF7902" w:rsidP="00BF7902">
            <w:pPr>
              <w:spacing w:after="0" w:line="240" w:lineRule="auto"/>
              <w:jc w:val="center"/>
              <w:rPr>
                <w:rFonts w:ascii="Times New Roman" w:eastAsia="Times New Roman" w:hAnsi="Times New Roman" w:cs="Times New Roman"/>
                <w:sz w:val="24"/>
                <w:szCs w:val="24"/>
              </w:rPr>
            </w:pPr>
            <w:bookmarkStart w:id="0" w:name="_GoBack"/>
            <w:bookmarkEnd w:id="0"/>
            <w:r w:rsidRPr="00BF7902">
              <w:rPr>
                <w:rFonts w:ascii="Times New Roman" w:eastAsia="Times New Roman" w:hAnsi="Times New Roman" w:cs="Times New Roman"/>
                <w:noProof/>
                <w:color w:val="0000FF"/>
                <w:sz w:val="24"/>
                <w:szCs w:val="24"/>
              </w:rPr>
              <w:drawing>
                <wp:inline distT="0" distB="0" distL="0" distR="0">
                  <wp:extent cx="5715000" cy="1143000"/>
                  <wp:effectExtent l="0" t="0" r="0" b="0"/>
                  <wp:docPr id="24" name="Picture 24" descr="http://www.aucd.org/images2/jpg/promise/promise_banner_newsletter_templ03.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aucd.org/images2/jpg/promise/promise_banner_newsletter_templ03.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143000"/>
                          </a:xfrm>
                          <a:prstGeom prst="rect">
                            <a:avLst/>
                          </a:prstGeom>
                          <a:noFill/>
                          <a:ln>
                            <a:noFill/>
                          </a:ln>
                        </pic:spPr>
                      </pic:pic>
                    </a:graphicData>
                  </a:graphic>
                </wp:inline>
              </w:drawing>
            </w:r>
          </w:p>
        </w:tc>
      </w:tr>
      <w:tr w:rsidR="0022072B" w:rsidRPr="00BF7902" w:rsidTr="0022072B">
        <w:trPr>
          <w:trHeight w:val="600"/>
          <w:tblCellSpacing w:w="0" w:type="dxa"/>
          <w:jc w:val="center"/>
        </w:trPr>
        <w:tc>
          <w:tcPr>
            <w:tcW w:w="364" w:type="dxa"/>
            <w:shd w:val="clear" w:color="auto" w:fill="305E76"/>
            <w:vAlign w:val="center"/>
            <w:hideMark/>
          </w:tcPr>
          <w:p w:rsidR="00BF7902" w:rsidRPr="00BF7902" w:rsidRDefault="00BF7902" w:rsidP="00BF7902">
            <w:pPr>
              <w:spacing w:after="0" w:line="240" w:lineRule="auto"/>
              <w:rPr>
                <w:rFonts w:ascii="Times New Roman" w:eastAsia="Times New Roman" w:hAnsi="Times New Roman" w:cs="Times New Roman"/>
                <w:sz w:val="24"/>
                <w:szCs w:val="24"/>
              </w:rPr>
            </w:pPr>
            <w:r w:rsidRPr="00BF7902">
              <w:rPr>
                <w:rFonts w:ascii="Times New Roman" w:eastAsia="Times New Roman" w:hAnsi="Times New Roman" w:cs="Times New Roman"/>
                <w:sz w:val="24"/>
                <w:szCs w:val="24"/>
              </w:rPr>
              <w:t>   </w:t>
            </w:r>
          </w:p>
        </w:tc>
        <w:tc>
          <w:tcPr>
            <w:tcW w:w="1976" w:type="dxa"/>
            <w:shd w:val="clear" w:color="auto" w:fill="305E76"/>
            <w:vAlign w:val="center"/>
            <w:hideMark/>
          </w:tcPr>
          <w:p w:rsidR="00BF7902" w:rsidRPr="00BF7902" w:rsidRDefault="00326990" w:rsidP="00BF7902">
            <w:pPr>
              <w:spacing w:after="0" w:line="240" w:lineRule="auto"/>
              <w:rPr>
                <w:rFonts w:ascii="Arial" w:eastAsia="Times New Roman" w:hAnsi="Arial" w:cs="Arial"/>
                <w:color w:val="FFFFFF"/>
                <w:sz w:val="18"/>
                <w:szCs w:val="18"/>
              </w:rPr>
            </w:pPr>
            <w:r>
              <w:rPr>
                <w:rFonts w:ascii="Arial" w:eastAsia="Times New Roman" w:hAnsi="Arial" w:cs="Arial"/>
                <w:color w:val="FFFFFF"/>
                <w:sz w:val="18"/>
                <w:szCs w:val="18"/>
              </w:rPr>
              <w:t>August  13</w:t>
            </w:r>
            <w:r w:rsidR="00BF7902">
              <w:rPr>
                <w:rFonts w:ascii="Arial" w:eastAsia="Times New Roman" w:hAnsi="Arial" w:cs="Arial"/>
                <w:color w:val="FFFFFF"/>
                <w:sz w:val="18"/>
                <w:szCs w:val="18"/>
              </w:rPr>
              <w:t xml:space="preserve">  2015 </w:t>
            </w:r>
          </w:p>
        </w:tc>
        <w:tc>
          <w:tcPr>
            <w:tcW w:w="7020" w:type="dxa"/>
            <w:shd w:val="clear" w:color="auto" w:fill="305E76"/>
            <w:vAlign w:val="center"/>
            <w:hideMark/>
          </w:tcPr>
          <w:p w:rsidR="00BF7902" w:rsidRPr="00BF7902" w:rsidRDefault="00BF7902" w:rsidP="00BF7902">
            <w:pPr>
              <w:spacing w:after="0" w:line="240" w:lineRule="auto"/>
              <w:rPr>
                <w:rFonts w:ascii="Times New Roman" w:eastAsia="Times New Roman" w:hAnsi="Times New Roman" w:cs="Times New Roman"/>
                <w:sz w:val="24"/>
                <w:szCs w:val="24"/>
              </w:rPr>
            </w:pPr>
            <w:r w:rsidRPr="00BF7902">
              <w:rPr>
                <w:rFonts w:ascii="Times New Roman" w:eastAsia="Times New Roman" w:hAnsi="Times New Roman" w:cs="Times New Roman"/>
                <w:noProof/>
                <w:color w:val="0000FF"/>
                <w:sz w:val="24"/>
                <w:szCs w:val="24"/>
              </w:rPr>
              <w:drawing>
                <wp:inline distT="0" distB="0" distL="0" distR="0" wp14:anchorId="6D8EDE30" wp14:editId="1CEEDBEA">
                  <wp:extent cx="1051560" cy="190500"/>
                  <wp:effectExtent l="0" t="0" r="0" b="0"/>
                  <wp:docPr id="23" name="Picture 23" descr="view archive">
                    <a:hlinkClick xmlns:a="http://schemas.openxmlformats.org/drawingml/2006/main" r:id="rId8" tgtFrame="&quot;_blank&quot;" tooltip="&quot;link to view archived newslett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view archive">
                            <a:hlinkClick r:id="rId8" tgtFrame="&quot;_blank&quot;" tooltip="&quot;link to view archived newsletter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190500"/>
                          </a:xfrm>
                          <a:prstGeom prst="rect">
                            <a:avLst/>
                          </a:prstGeom>
                          <a:noFill/>
                          <a:ln>
                            <a:noFill/>
                          </a:ln>
                        </pic:spPr>
                      </pic:pic>
                    </a:graphicData>
                  </a:graphic>
                </wp:inline>
              </w:drawing>
            </w:r>
            <w:r w:rsidRPr="00BF7902">
              <w:rPr>
                <w:rFonts w:ascii="Times New Roman" w:eastAsia="Times New Roman" w:hAnsi="Times New Roman" w:cs="Times New Roman"/>
                <w:noProof/>
                <w:color w:val="0000FF"/>
                <w:sz w:val="24"/>
                <w:szCs w:val="24"/>
              </w:rPr>
              <w:drawing>
                <wp:inline distT="0" distB="0" distL="0" distR="0" wp14:anchorId="12776FF6" wp14:editId="0B0EDC94">
                  <wp:extent cx="1051560" cy="190500"/>
                  <wp:effectExtent l="0" t="0" r="0" b="0"/>
                  <wp:docPr id="22" name="Picture 22" descr="email friend">
                    <a:hlinkClick xmlns:a="http://schemas.openxmlformats.org/drawingml/2006/main" r:id="rId10" tgtFrame="&quot;_blank&quot;" tooltip="&quot;Access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mail friend">
                            <a:hlinkClick r:id="rId10" tgtFrame="&quot;_blank&quot;" tooltip="&quot;Accessib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1560" cy="190500"/>
                          </a:xfrm>
                          <a:prstGeom prst="rect">
                            <a:avLst/>
                          </a:prstGeom>
                          <a:noFill/>
                          <a:ln>
                            <a:noFill/>
                          </a:ln>
                        </pic:spPr>
                      </pic:pic>
                    </a:graphicData>
                  </a:graphic>
                </wp:inline>
              </w:drawing>
            </w:r>
            <w:r w:rsidRPr="00BF7902">
              <w:rPr>
                <w:rFonts w:ascii="Times New Roman" w:eastAsia="Times New Roman" w:hAnsi="Times New Roman" w:cs="Times New Roman"/>
                <w:noProof/>
                <w:color w:val="0000FF"/>
                <w:sz w:val="24"/>
                <w:szCs w:val="24"/>
              </w:rPr>
              <w:drawing>
                <wp:inline distT="0" distB="0" distL="0" distR="0" wp14:anchorId="5430D3AF" wp14:editId="7035CA12">
                  <wp:extent cx="662940" cy="190500"/>
                  <wp:effectExtent l="0" t="0" r="0" b="0"/>
                  <wp:docPr id="21" name="Picture 21" descr="tweet">
                    <a:hlinkClick xmlns:a="http://schemas.openxmlformats.org/drawingml/2006/main" r:id="rId12" tgtFrame="&quot;_blank&quot;" tooltip="&quot;link to twe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tweet">
                            <a:hlinkClick r:id="rId12" tgtFrame="&quot;_blank&quot;" tooltip="&quot;link to twee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940" cy="190500"/>
                          </a:xfrm>
                          <a:prstGeom prst="rect">
                            <a:avLst/>
                          </a:prstGeom>
                          <a:noFill/>
                          <a:ln>
                            <a:noFill/>
                          </a:ln>
                        </pic:spPr>
                      </pic:pic>
                    </a:graphicData>
                  </a:graphic>
                </wp:inline>
              </w:drawing>
            </w:r>
          </w:p>
        </w:tc>
      </w:tr>
      <w:tr w:rsidR="00BF7902" w:rsidRPr="00BF7902" w:rsidTr="0022072B">
        <w:trPr>
          <w:tblCellSpacing w:w="0" w:type="dxa"/>
          <w:jc w:val="center"/>
        </w:trPr>
        <w:tc>
          <w:tcPr>
            <w:tcW w:w="9360" w:type="dxa"/>
            <w:gridSpan w:val="3"/>
            <w:shd w:val="clear" w:color="auto" w:fill="305E76"/>
            <w:vAlign w:val="center"/>
            <w:hideMark/>
          </w:tcPr>
          <w:tbl>
            <w:tblPr>
              <w:tblW w:w="7200" w:type="dxa"/>
              <w:jc w:val="center"/>
              <w:tblCellSpacing w:w="15" w:type="dxa"/>
              <w:shd w:val="clear" w:color="auto" w:fill="F7F7F7"/>
              <w:tblLayout w:type="fixed"/>
              <w:tblCellMar>
                <w:top w:w="15" w:type="dxa"/>
                <w:left w:w="15" w:type="dxa"/>
                <w:bottom w:w="15" w:type="dxa"/>
                <w:right w:w="15" w:type="dxa"/>
              </w:tblCellMar>
              <w:tblLook w:val="04A0" w:firstRow="1" w:lastRow="0" w:firstColumn="1" w:lastColumn="0" w:noHBand="0" w:noVBand="1"/>
            </w:tblPr>
            <w:tblGrid>
              <w:gridCol w:w="255"/>
              <w:gridCol w:w="6690"/>
              <w:gridCol w:w="255"/>
            </w:tblGrid>
            <w:tr w:rsidR="00BF7902" w:rsidRPr="00BF7902" w:rsidTr="0022072B">
              <w:trPr>
                <w:tblCellSpacing w:w="15" w:type="dxa"/>
                <w:jc w:val="center"/>
              </w:trPr>
              <w:tc>
                <w:tcPr>
                  <w:tcW w:w="210" w:type="dxa"/>
                  <w:shd w:val="clear" w:color="auto" w:fill="F7F7F7"/>
                  <w:vAlign w:val="center"/>
                  <w:hideMark/>
                </w:tcPr>
                <w:p w:rsidR="00BF7902" w:rsidRPr="00BF7902" w:rsidRDefault="00BF7902" w:rsidP="00BF7902">
                  <w:pPr>
                    <w:spacing w:after="0" w:line="240" w:lineRule="auto"/>
                    <w:rPr>
                      <w:rFonts w:ascii="Times New Roman" w:eastAsia="Times New Roman" w:hAnsi="Times New Roman" w:cs="Times New Roman"/>
                      <w:sz w:val="24"/>
                      <w:szCs w:val="24"/>
                    </w:rPr>
                  </w:pPr>
                  <w:r w:rsidRPr="00BF7902">
                    <w:rPr>
                      <w:rFonts w:ascii="Times New Roman" w:eastAsia="Times New Roman" w:hAnsi="Times New Roman" w:cs="Times New Roman"/>
                      <w:sz w:val="24"/>
                      <w:szCs w:val="24"/>
                    </w:rPr>
                    <w:t>   </w:t>
                  </w:r>
                </w:p>
              </w:tc>
              <w:tc>
                <w:tcPr>
                  <w:tcW w:w="6660" w:type="dxa"/>
                  <w:shd w:val="clear" w:color="auto" w:fill="F7F7F7"/>
                  <w:vAlign w:val="center"/>
                  <w:hideMark/>
                </w:tcPr>
                <w:p w:rsidR="00BF7902" w:rsidRPr="00BF7902" w:rsidRDefault="00BF7902" w:rsidP="00BF7902">
                  <w:pPr>
                    <w:spacing w:before="100" w:beforeAutospacing="1" w:after="100" w:afterAutospacing="1" w:line="240" w:lineRule="auto"/>
                    <w:rPr>
                      <w:rFonts w:ascii="Times New Roman" w:eastAsia="Times New Roman" w:hAnsi="Times New Roman" w:cs="Times New Roman"/>
                      <w:sz w:val="24"/>
                      <w:szCs w:val="24"/>
                    </w:rPr>
                  </w:pPr>
                  <w:r w:rsidRPr="00BF7902">
                    <w:rPr>
                      <w:rFonts w:ascii="Times New Roman" w:eastAsia="Times New Roman" w:hAnsi="Times New Roman" w:cs="Times New Roman"/>
                      <w:sz w:val="24"/>
                      <w:szCs w:val="24"/>
                    </w:rPr>
                    <w:t> </w:t>
                  </w:r>
                </w:p>
                <w:p w:rsidR="00BF7902" w:rsidRPr="00BF7902" w:rsidRDefault="00BF7902" w:rsidP="00BF7902">
                  <w:pPr>
                    <w:spacing w:before="100" w:beforeAutospacing="1" w:after="100" w:afterAutospacing="1" w:line="240" w:lineRule="auto"/>
                    <w:jc w:val="center"/>
                    <w:rPr>
                      <w:rFonts w:ascii="Garamond" w:eastAsia="Times New Roman" w:hAnsi="Garamond" w:cs="Times New Roman"/>
                      <w:b/>
                      <w:i/>
                      <w:sz w:val="24"/>
                      <w:szCs w:val="24"/>
                      <w:u w:val="single"/>
                    </w:rPr>
                  </w:pPr>
                  <w:r w:rsidRPr="00BF7902">
                    <w:rPr>
                      <w:rFonts w:ascii="Garamond" w:eastAsia="Times New Roman" w:hAnsi="Garamond" w:cs="Helvetica"/>
                      <w:b/>
                      <w:i/>
                      <w:color w:val="333333"/>
                      <w:sz w:val="33"/>
                      <w:szCs w:val="33"/>
                      <w:u w:val="single"/>
                    </w:rPr>
                    <w:t>FEATURED ARTICLE</w:t>
                  </w:r>
                </w:p>
                <w:p w:rsidR="00BF7902" w:rsidRPr="00817A56" w:rsidRDefault="00817A56" w:rsidP="00E90B3F">
                  <w:pPr>
                    <w:spacing w:before="100" w:beforeAutospacing="1" w:after="100" w:afterAutospacing="1" w:line="240" w:lineRule="auto"/>
                    <w:jc w:val="center"/>
                    <w:rPr>
                      <w:rStyle w:val="Hyperlink"/>
                      <w:rFonts w:ascii="Garamond" w:eastAsia="Times New Roman" w:hAnsi="Garamond" w:cs="Times New Roman"/>
                      <w:b/>
                      <w:sz w:val="24"/>
                      <w:szCs w:val="24"/>
                    </w:rPr>
                  </w:pPr>
                  <w:r w:rsidRPr="00817A56">
                    <w:rPr>
                      <w:rFonts w:ascii="Garamond" w:eastAsia="Times New Roman" w:hAnsi="Garamond" w:cs="Helvetica"/>
                      <w:b/>
                      <w:color w:val="333333"/>
                      <w:sz w:val="33"/>
                      <w:szCs w:val="33"/>
                    </w:rPr>
                    <w:fldChar w:fldCharType="begin"/>
                  </w:r>
                  <w:r w:rsidR="00326990">
                    <w:rPr>
                      <w:rFonts w:ascii="Garamond" w:eastAsia="Times New Roman" w:hAnsi="Garamond" w:cs="Helvetica"/>
                      <w:b/>
                      <w:color w:val="333333"/>
                      <w:sz w:val="33"/>
                      <w:szCs w:val="33"/>
                    </w:rPr>
                    <w:instrText>HYPERLINK "http://www.pacer.org/publications/MDE-Toolkit-2013.pdf" \t "_blank"</w:instrText>
                  </w:r>
                  <w:r w:rsidRPr="00817A56">
                    <w:rPr>
                      <w:rFonts w:ascii="Garamond" w:eastAsia="Times New Roman" w:hAnsi="Garamond" w:cs="Helvetica"/>
                      <w:b/>
                      <w:color w:val="333333"/>
                      <w:sz w:val="33"/>
                      <w:szCs w:val="33"/>
                    </w:rPr>
                    <w:fldChar w:fldCharType="separate"/>
                  </w:r>
                  <w:r w:rsidR="00326990">
                    <w:rPr>
                      <w:rStyle w:val="Hyperlink"/>
                      <w:rFonts w:ascii="Garamond" w:eastAsia="Times New Roman" w:hAnsi="Garamond" w:cs="Helvetica"/>
                      <w:b/>
                      <w:sz w:val="33"/>
                      <w:szCs w:val="33"/>
                    </w:rPr>
                    <w:t>A guide to preparing your child with a disability for life beyond high school</w:t>
                  </w:r>
                </w:p>
                <w:p w:rsidR="00BF7902" w:rsidRPr="00BF7902" w:rsidRDefault="00817A56" w:rsidP="008D32E8">
                  <w:pPr>
                    <w:spacing w:before="100" w:beforeAutospacing="1" w:after="100" w:afterAutospacing="1" w:line="240" w:lineRule="auto"/>
                    <w:jc w:val="center"/>
                    <w:rPr>
                      <w:rFonts w:ascii="Times New Roman" w:eastAsia="Times New Roman" w:hAnsi="Times New Roman" w:cs="Times New Roman"/>
                      <w:sz w:val="24"/>
                      <w:szCs w:val="24"/>
                    </w:rPr>
                  </w:pPr>
                  <w:r w:rsidRPr="00817A56">
                    <w:rPr>
                      <w:rFonts w:ascii="Garamond" w:eastAsia="Times New Roman" w:hAnsi="Garamond" w:cs="Helvetica"/>
                      <w:b/>
                      <w:color w:val="333333"/>
                      <w:sz w:val="33"/>
                      <w:szCs w:val="33"/>
                    </w:rPr>
                    <w:fldChar w:fldCharType="end"/>
                  </w:r>
                  <w:r w:rsidR="00BF7902" w:rsidRPr="00BF7902">
                    <w:rPr>
                      <w:rFonts w:ascii="Times New Roman" w:eastAsia="Times New Roman" w:hAnsi="Times New Roman" w:cs="Times New Roman"/>
                      <w:noProof/>
                      <w:sz w:val="24"/>
                      <w:szCs w:val="24"/>
                    </w:rPr>
                    <w:drawing>
                      <wp:inline distT="0" distB="0" distL="0" distR="0" wp14:anchorId="5A960B26" wp14:editId="49369F53">
                        <wp:extent cx="1949902" cy="1293817"/>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ew-JAN"/>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49902" cy="1293817"/>
                                </a:xfrm>
                                <a:prstGeom prst="rect">
                                  <a:avLst/>
                                </a:prstGeom>
                                <a:noFill/>
                                <a:ln>
                                  <a:noFill/>
                                </a:ln>
                              </pic:spPr>
                            </pic:pic>
                          </a:graphicData>
                        </a:graphic>
                      </wp:inline>
                    </w:drawing>
                  </w:r>
                </w:p>
                <w:p w:rsidR="00BF7902" w:rsidRPr="00BF7902" w:rsidRDefault="00326990" w:rsidP="00BF7902">
                  <w:pPr>
                    <w:spacing w:before="100" w:beforeAutospacing="1" w:after="100" w:afterAutospacing="1" w:line="360" w:lineRule="auto"/>
                    <w:rPr>
                      <w:rFonts w:ascii="Garamond" w:eastAsia="Times New Roman" w:hAnsi="Garamond" w:cs="Helvetica"/>
                      <w:color w:val="000000"/>
                      <w:sz w:val="24"/>
                      <w:szCs w:val="24"/>
                    </w:rPr>
                  </w:pPr>
                  <w:r>
                    <w:rPr>
                      <w:rFonts w:ascii="Garamond" w:eastAsia="Times New Roman" w:hAnsi="Garamond" w:cs="Helvetica"/>
                      <w:color w:val="000000"/>
                      <w:sz w:val="24"/>
                      <w:szCs w:val="24"/>
                    </w:rPr>
                    <w:t>For youth with disabilities, additional planning is needed as they prepare to leave school, move into adulthood, and meet their employment, educational, or independent living goals</w:t>
                  </w:r>
                  <w:r w:rsidR="00E90B3F">
                    <w:rPr>
                      <w:rFonts w:ascii="Garamond" w:eastAsia="Times New Roman" w:hAnsi="Garamond" w:cs="Helvetica"/>
                      <w:color w:val="000000"/>
                      <w:sz w:val="24"/>
                      <w:szCs w:val="24"/>
                    </w:rPr>
                    <w:t>.</w:t>
                  </w:r>
                  <w:r>
                    <w:rPr>
                      <w:rFonts w:ascii="Garamond" w:eastAsia="Times New Roman" w:hAnsi="Garamond" w:cs="Helvetica"/>
                      <w:color w:val="000000"/>
                      <w:sz w:val="24"/>
                      <w:szCs w:val="24"/>
                    </w:rPr>
                    <w:t xml:space="preserve"> This process is often referred to as “transition.” For many families, planning for transition can be daunting. Some are just trying to make it through the day-to-day challenges often posed by having a youth with a disability and might not feel they have the time or energy to think about what happens after high school. Others may want to plan for transition, but are confused by unfamiliar language, complex steps, and many community partners.</w:t>
                  </w:r>
                  <w:r w:rsidR="00E90B3F">
                    <w:rPr>
                      <w:rFonts w:ascii="Garamond" w:eastAsia="Times New Roman" w:hAnsi="Garamond" w:cs="Helvetica"/>
                      <w:color w:val="000000"/>
                      <w:sz w:val="24"/>
                      <w:szCs w:val="24"/>
                    </w:rPr>
                    <w:t xml:space="preserve"> </w:t>
                  </w:r>
                  <w:r w:rsidR="00683698">
                    <w:rPr>
                      <w:rFonts w:ascii="Garamond" w:eastAsia="Times New Roman" w:hAnsi="Garamond" w:cs="Helvetica"/>
                      <w:color w:val="000000"/>
                      <w:sz w:val="24"/>
                      <w:szCs w:val="24"/>
                    </w:rPr>
                    <w:t xml:space="preserve"> </w:t>
                  </w:r>
                </w:p>
                <w:p w:rsidR="00BF7902" w:rsidRPr="00BF7902" w:rsidRDefault="003628F6" w:rsidP="00BF7902">
                  <w:pPr>
                    <w:spacing w:before="100" w:beforeAutospacing="1" w:after="100" w:afterAutospacing="1" w:line="240" w:lineRule="auto"/>
                    <w:rPr>
                      <w:rFonts w:ascii="Garamond" w:eastAsia="Times New Roman" w:hAnsi="Garamond" w:cs="Helvetica"/>
                      <w:sz w:val="24"/>
                      <w:szCs w:val="24"/>
                    </w:rPr>
                  </w:pPr>
                  <w:hyperlink r:id="rId15" w:tgtFrame="_blank" w:history="1">
                    <w:r w:rsidR="00BF7902" w:rsidRPr="00817A56">
                      <w:rPr>
                        <w:rFonts w:ascii="Garamond" w:eastAsia="Times New Roman" w:hAnsi="Garamond" w:cs="Helvetica"/>
                        <w:b/>
                        <w:color w:val="0000FF"/>
                        <w:sz w:val="24"/>
                        <w:szCs w:val="24"/>
                        <w:u w:val="single"/>
                      </w:rPr>
                      <w:t>Continue reading</w:t>
                    </w:r>
                  </w:hyperlink>
                  <w:r w:rsidR="00BF7902" w:rsidRPr="00BF7902">
                    <w:rPr>
                      <w:rFonts w:ascii="Garamond" w:eastAsia="Times New Roman" w:hAnsi="Garamond" w:cs="Helvetica"/>
                      <w:sz w:val="24"/>
                      <w:szCs w:val="24"/>
                    </w:rPr>
                    <w:t xml:space="preserve"> ...</w:t>
                  </w:r>
                </w:p>
              </w:tc>
              <w:tc>
                <w:tcPr>
                  <w:tcW w:w="210" w:type="dxa"/>
                  <w:shd w:val="clear" w:color="auto" w:fill="F7F7F7"/>
                  <w:vAlign w:val="center"/>
                  <w:hideMark/>
                </w:tcPr>
                <w:p w:rsidR="00BF7902" w:rsidRPr="00BF7902" w:rsidRDefault="00BF7902" w:rsidP="00BF7902">
                  <w:pPr>
                    <w:spacing w:after="0" w:line="240" w:lineRule="auto"/>
                    <w:rPr>
                      <w:rFonts w:ascii="Times New Roman" w:eastAsia="Times New Roman" w:hAnsi="Times New Roman" w:cs="Times New Roman"/>
                      <w:sz w:val="24"/>
                      <w:szCs w:val="24"/>
                    </w:rPr>
                  </w:pPr>
                  <w:r w:rsidRPr="00BF7902">
                    <w:rPr>
                      <w:rFonts w:ascii="Times New Roman" w:eastAsia="Times New Roman" w:hAnsi="Times New Roman" w:cs="Times New Roman"/>
                      <w:sz w:val="24"/>
                      <w:szCs w:val="24"/>
                    </w:rPr>
                    <w:t>   </w:t>
                  </w:r>
                </w:p>
              </w:tc>
            </w:tr>
          </w:tbl>
          <w:p w:rsidR="00BF7902" w:rsidRPr="00BF7902" w:rsidRDefault="00BF7902" w:rsidP="00BF7902">
            <w:pPr>
              <w:spacing w:after="0" w:line="240" w:lineRule="auto"/>
              <w:jc w:val="center"/>
              <w:rPr>
                <w:rFonts w:ascii="Times New Roman" w:eastAsia="Times New Roman" w:hAnsi="Times New Roman" w:cs="Times New Roman"/>
                <w:sz w:val="24"/>
                <w:szCs w:val="24"/>
              </w:rPr>
            </w:pPr>
          </w:p>
        </w:tc>
      </w:tr>
      <w:tr w:rsidR="00BF7902" w:rsidRPr="00BF7902" w:rsidTr="0022072B">
        <w:trPr>
          <w:tblCellSpacing w:w="0" w:type="dxa"/>
          <w:jc w:val="center"/>
        </w:trPr>
        <w:tc>
          <w:tcPr>
            <w:tcW w:w="9360" w:type="dxa"/>
            <w:gridSpan w:val="3"/>
            <w:shd w:val="clear" w:color="auto" w:fill="305E76"/>
            <w:vAlign w:val="center"/>
            <w:hideMark/>
          </w:tcPr>
          <w:p w:rsidR="00BF7902" w:rsidRPr="00BF7902" w:rsidRDefault="00BF7902" w:rsidP="00BF7902">
            <w:pPr>
              <w:spacing w:after="0" w:line="240" w:lineRule="auto"/>
              <w:jc w:val="center"/>
              <w:rPr>
                <w:rFonts w:ascii="Times New Roman" w:eastAsia="Times New Roman" w:hAnsi="Times New Roman" w:cs="Times New Roman"/>
                <w:sz w:val="24"/>
                <w:szCs w:val="24"/>
              </w:rPr>
            </w:pPr>
            <w:r w:rsidRPr="00BF7902">
              <w:rPr>
                <w:rFonts w:ascii="Times New Roman" w:eastAsia="Times New Roman" w:hAnsi="Times New Roman" w:cs="Times New Roman"/>
                <w:sz w:val="24"/>
                <w:szCs w:val="24"/>
              </w:rPr>
              <w:t xml:space="preserve">  </w:t>
            </w:r>
          </w:p>
          <w:tbl>
            <w:tblPr>
              <w:tblW w:w="9133" w:type="dxa"/>
              <w:jc w:val="center"/>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5"/>
              <w:gridCol w:w="2473"/>
              <w:gridCol w:w="240"/>
              <w:gridCol w:w="2730"/>
              <w:gridCol w:w="80"/>
              <w:gridCol w:w="3100"/>
              <w:gridCol w:w="255"/>
            </w:tblGrid>
            <w:tr w:rsidR="006B3F81" w:rsidRPr="00BF7902" w:rsidTr="0022072B">
              <w:trPr>
                <w:tblCellSpacing w:w="15" w:type="dxa"/>
                <w:jc w:val="center"/>
              </w:trPr>
              <w:tc>
                <w:tcPr>
                  <w:tcW w:w="9073" w:type="dxa"/>
                  <w:gridSpan w:val="7"/>
                  <w:shd w:val="clear" w:color="auto" w:fill="488C03"/>
                  <w:vAlign w:val="center"/>
                  <w:hideMark/>
                </w:tcPr>
                <w:p w:rsidR="00BF7902" w:rsidRPr="00BF7902" w:rsidRDefault="00BF7902" w:rsidP="00BF7902">
                  <w:pPr>
                    <w:spacing w:after="0" w:line="240" w:lineRule="auto"/>
                    <w:rPr>
                      <w:rFonts w:ascii="Times New Roman" w:eastAsia="Times New Roman" w:hAnsi="Times New Roman" w:cs="Times New Roman"/>
                      <w:sz w:val="24"/>
                      <w:szCs w:val="24"/>
                    </w:rPr>
                  </w:pPr>
                  <w:r w:rsidRPr="00BF7902">
                    <w:rPr>
                      <w:rFonts w:ascii="Helvetica" w:eastAsia="Times New Roman" w:hAnsi="Helvetica" w:cs="Helvetica"/>
                      <w:color w:val="FFFFFF"/>
                      <w:sz w:val="33"/>
                      <w:szCs w:val="33"/>
                    </w:rPr>
                    <w:t>   ...More to Read</w:t>
                  </w:r>
                  <w:r w:rsidRPr="00BF7902">
                    <w:rPr>
                      <w:rFonts w:ascii="Times New Roman" w:eastAsia="Times New Roman" w:hAnsi="Times New Roman" w:cs="Times New Roman"/>
                      <w:sz w:val="24"/>
                      <w:szCs w:val="24"/>
                    </w:rPr>
                    <w:t xml:space="preserve"> </w:t>
                  </w:r>
                </w:p>
              </w:tc>
            </w:tr>
            <w:tr w:rsidR="006B3F81" w:rsidRPr="00BF7902" w:rsidTr="0022072B">
              <w:trPr>
                <w:tblCellSpacing w:w="15" w:type="dxa"/>
                <w:jc w:val="center"/>
              </w:trPr>
              <w:tc>
                <w:tcPr>
                  <w:tcW w:w="9073" w:type="dxa"/>
                  <w:gridSpan w:val="7"/>
                  <w:shd w:val="clear" w:color="auto" w:fill="FFFFFF"/>
                  <w:vAlign w:val="center"/>
                  <w:hideMark/>
                </w:tcPr>
                <w:p w:rsidR="00BF7902" w:rsidRPr="00BF7902" w:rsidRDefault="00BF7902" w:rsidP="00BF7902">
                  <w:pPr>
                    <w:spacing w:after="0" w:line="240" w:lineRule="auto"/>
                    <w:rPr>
                      <w:rFonts w:ascii="Times New Roman" w:eastAsia="Times New Roman" w:hAnsi="Times New Roman" w:cs="Times New Roman"/>
                      <w:sz w:val="24"/>
                      <w:szCs w:val="24"/>
                    </w:rPr>
                  </w:pPr>
                  <w:r w:rsidRPr="00BF7902">
                    <w:rPr>
                      <w:rFonts w:ascii="Times New Roman" w:eastAsia="Times New Roman" w:hAnsi="Times New Roman" w:cs="Times New Roman"/>
                      <w:sz w:val="24"/>
                      <w:szCs w:val="24"/>
                    </w:rPr>
                    <w:t> </w:t>
                  </w:r>
                </w:p>
              </w:tc>
            </w:tr>
            <w:tr w:rsidR="0022072B" w:rsidRPr="00BF7902" w:rsidTr="0022072B">
              <w:trPr>
                <w:tblCellSpacing w:w="15" w:type="dxa"/>
                <w:jc w:val="center"/>
              </w:trPr>
              <w:tc>
                <w:tcPr>
                  <w:tcW w:w="210" w:type="dxa"/>
                  <w:shd w:val="clear" w:color="auto" w:fill="FFFFFF"/>
                  <w:vAlign w:val="center"/>
                  <w:hideMark/>
                </w:tcPr>
                <w:p w:rsidR="00BF7902" w:rsidRPr="00BF7902" w:rsidRDefault="00BF7902" w:rsidP="00BF7902">
                  <w:pPr>
                    <w:spacing w:after="0" w:line="240" w:lineRule="auto"/>
                    <w:rPr>
                      <w:rFonts w:ascii="Times New Roman" w:eastAsia="Times New Roman" w:hAnsi="Times New Roman" w:cs="Times New Roman"/>
                      <w:sz w:val="24"/>
                      <w:szCs w:val="24"/>
                    </w:rPr>
                  </w:pPr>
                  <w:r w:rsidRPr="00BF7902">
                    <w:rPr>
                      <w:rFonts w:ascii="Times New Roman" w:eastAsia="Times New Roman" w:hAnsi="Times New Roman" w:cs="Times New Roman"/>
                      <w:sz w:val="24"/>
                      <w:szCs w:val="24"/>
                    </w:rPr>
                    <w:lastRenderedPageBreak/>
                    <w:t>   </w:t>
                  </w:r>
                </w:p>
              </w:tc>
              <w:tc>
                <w:tcPr>
                  <w:tcW w:w="2443" w:type="dxa"/>
                  <w:shd w:val="clear" w:color="auto" w:fill="FFFFFF"/>
                  <w:hideMark/>
                </w:tcPr>
                <w:p w:rsidR="00D01E4C" w:rsidRPr="00BF7902" w:rsidRDefault="00D01E4C" w:rsidP="00D01E4C">
                  <w:pPr>
                    <w:spacing w:before="100" w:beforeAutospacing="1" w:after="100" w:afterAutospacing="1" w:line="240" w:lineRule="auto"/>
                    <w:jc w:val="center"/>
                    <w:rPr>
                      <w:rFonts w:ascii="Times New Roman" w:eastAsia="Times New Roman" w:hAnsi="Times New Roman" w:cs="Times New Roman"/>
                      <w:sz w:val="24"/>
                      <w:szCs w:val="24"/>
                    </w:rPr>
                  </w:pPr>
                  <w:r w:rsidRPr="00BF7902">
                    <w:rPr>
                      <w:rFonts w:ascii="Times New Roman" w:eastAsia="Times New Roman" w:hAnsi="Times New Roman" w:cs="Times New Roman"/>
                      <w:noProof/>
                      <w:sz w:val="24"/>
                      <w:szCs w:val="24"/>
                    </w:rPr>
                    <w:drawing>
                      <wp:inline distT="0" distB="0" distL="0" distR="0" wp14:anchorId="5597B61E" wp14:editId="383270E5">
                        <wp:extent cx="1538745" cy="12801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oft-skill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542129" cy="1282976"/>
                                </a:xfrm>
                                <a:prstGeom prst="rect">
                                  <a:avLst/>
                                </a:prstGeom>
                                <a:noFill/>
                                <a:ln>
                                  <a:noFill/>
                                </a:ln>
                              </pic:spPr>
                            </pic:pic>
                          </a:graphicData>
                        </a:graphic>
                      </wp:inline>
                    </w:drawing>
                  </w:r>
                </w:p>
                <w:p w:rsidR="00BF7902" w:rsidRPr="00361B87" w:rsidRDefault="00D01E4C" w:rsidP="00326990">
                  <w:pPr>
                    <w:spacing w:before="100" w:beforeAutospacing="1" w:after="100" w:afterAutospacing="1" w:line="240" w:lineRule="auto"/>
                    <w:rPr>
                      <w:rFonts w:ascii="Garamond" w:eastAsia="Times New Roman" w:hAnsi="Garamond" w:cs="Helvetica"/>
                      <w:b/>
                      <w:sz w:val="24"/>
                      <w:szCs w:val="24"/>
                    </w:rPr>
                  </w:pPr>
                  <w:r>
                    <w:rPr>
                      <w:rFonts w:ascii="Helvetica" w:eastAsia="Times New Roman" w:hAnsi="Helvetica" w:cs="Helvetica"/>
                      <w:color w:val="0000FF"/>
                      <w:sz w:val="24"/>
                      <w:szCs w:val="24"/>
                      <w:u w:val="single"/>
                    </w:rPr>
                    <w:br/>
                  </w:r>
                  <w:r>
                    <w:rPr>
                      <w:rFonts w:ascii="Garamond" w:eastAsia="Times New Roman" w:hAnsi="Garamond" w:cs="Helvetica"/>
                      <w:b/>
                      <w:color w:val="0000FF"/>
                      <w:sz w:val="24"/>
                      <w:szCs w:val="24"/>
                      <w:u w:val="single"/>
                    </w:rPr>
                    <w:br/>
                  </w:r>
                  <w:hyperlink r:id="rId17" w:history="1">
                    <w:r w:rsidR="00326990" w:rsidRPr="00326990">
                      <w:rPr>
                        <w:rStyle w:val="Hyperlink"/>
                        <w:rFonts w:ascii="Garamond" w:eastAsia="Times New Roman" w:hAnsi="Garamond" w:cs="Helvetica"/>
                        <w:b/>
                        <w:sz w:val="24"/>
                        <w:szCs w:val="24"/>
                      </w:rPr>
                      <w:t>Preparation for postsecondary life for students with disabilities</w:t>
                    </w:r>
                  </w:hyperlink>
                  <w:r w:rsidR="00326990">
                    <w:rPr>
                      <w:rFonts w:ascii="Garamond" w:eastAsia="Times New Roman" w:hAnsi="Garamond" w:cs="Helvetica"/>
                      <w:b/>
                      <w:sz w:val="24"/>
                      <w:szCs w:val="24"/>
                    </w:rPr>
                    <w:t xml:space="preserve"> </w:t>
                  </w:r>
                  <w:r>
                    <w:rPr>
                      <w:rFonts w:ascii="Garamond" w:eastAsia="Times New Roman" w:hAnsi="Garamond" w:cs="Helvetica"/>
                      <w:b/>
                      <w:sz w:val="24"/>
                      <w:szCs w:val="24"/>
                    </w:rPr>
                    <w:br/>
                  </w:r>
                  <w:r w:rsidR="0022072B">
                    <w:rPr>
                      <w:rFonts w:ascii="Garamond" w:eastAsia="Times New Roman" w:hAnsi="Garamond" w:cs="Times New Roman"/>
                      <w:sz w:val="24"/>
                      <w:szCs w:val="24"/>
                    </w:rPr>
                    <w:br/>
                  </w:r>
                  <w:r w:rsidR="00326990">
                    <w:rPr>
                      <w:rFonts w:ascii="Garamond" w:eastAsia="Times New Roman" w:hAnsi="Garamond" w:cs="Times New Roman"/>
                      <w:sz w:val="24"/>
                      <w:szCs w:val="24"/>
                    </w:rPr>
                    <w:t>The Individuals with Disabilities Education Act (IDEA), most recently reauthorized in 2004, requires the inclusion of transition services in an individualized education program (IEP) for students with disabilities by the time they reach their 16</w:t>
                  </w:r>
                  <w:r w:rsidR="00326990" w:rsidRPr="00326990">
                    <w:rPr>
                      <w:rFonts w:ascii="Garamond" w:eastAsia="Times New Roman" w:hAnsi="Garamond" w:cs="Times New Roman"/>
                      <w:sz w:val="24"/>
                      <w:szCs w:val="24"/>
                      <w:vertAlign w:val="superscript"/>
                    </w:rPr>
                    <w:t>th</w:t>
                  </w:r>
                  <w:r w:rsidR="00326990">
                    <w:rPr>
                      <w:rFonts w:ascii="Garamond" w:eastAsia="Times New Roman" w:hAnsi="Garamond" w:cs="Times New Roman"/>
                      <w:sz w:val="24"/>
                      <w:szCs w:val="24"/>
                    </w:rPr>
                    <w:t xml:space="preserve"> birthday, or earlier if determined appropriate by the IEP team. The purpose of this document is to identify collaborative strategies states have implemented to address the needs of students with disabilities whose IEP transition services specify postsecondary career and technical education, vocational rehabilitation and/ or immediate employment upon departure from secondary school</w:t>
                  </w:r>
                  <w:r w:rsidRPr="00817A56">
                    <w:rPr>
                      <w:rFonts w:ascii="Garamond" w:eastAsia="Times New Roman" w:hAnsi="Garamond" w:cs="Times New Roman"/>
                      <w:sz w:val="24"/>
                      <w:szCs w:val="24"/>
                    </w:rPr>
                    <w:t xml:space="preserve">. </w:t>
                  </w:r>
                  <w:r w:rsidR="00326990">
                    <w:rPr>
                      <w:rFonts w:ascii="Garamond" w:eastAsia="Times New Roman" w:hAnsi="Garamond" w:cs="Times New Roman"/>
                      <w:sz w:val="24"/>
                      <w:szCs w:val="24"/>
                    </w:rPr>
                    <w:br/>
                  </w:r>
                  <w:hyperlink r:id="rId18" w:tgtFrame="_blank" w:tooltip="Networking" w:history="1">
                    <w:r w:rsidRPr="00817A56">
                      <w:rPr>
                        <w:rFonts w:ascii="Garamond" w:eastAsia="Times New Roman" w:hAnsi="Garamond" w:cs="Times New Roman"/>
                        <w:b/>
                        <w:color w:val="0000FF"/>
                        <w:sz w:val="24"/>
                        <w:szCs w:val="24"/>
                        <w:u w:val="single"/>
                      </w:rPr>
                      <w:t>Continue reading</w:t>
                    </w:r>
                  </w:hyperlink>
                  <w:r w:rsidRPr="00BF7902">
                    <w:rPr>
                      <w:rFonts w:ascii="Garamond" w:eastAsia="Times New Roman" w:hAnsi="Garamond" w:cs="Times New Roman"/>
                      <w:sz w:val="24"/>
                      <w:szCs w:val="24"/>
                    </w:rPr>
                    <w:t>...</w:t>
                  </w:r>
                </w:p>
              </w:tc>
              <w:tc>
                <w:tcPr>
                  <w:tcW w:w="210" w:type="dxa"/>
                  <w:shd w:val="clear" w:color="auto" w:fill="FFFFFF"/>
                  <w:vAlign w:val="center"/>
                  <w:hideMark/>
                </w:tcPr>
                <w:p w:rsidR="00BF7902" w:rsidRPr="00BF7902" w:rsidRDefault="00BF7902" w:rsidP="00BF7902">
                  <w:pPr>
                    <w:spacing w:after="0" w:line="240" w:lineRule="auto"/>
                    <w:rPr>
                      <w:rFonts w:ascii="Times New Roman" w:eastAsia="Times New Roman" w:hAnsi="Times New Roman" w:cs="Times New Roman"/>
                      <w:sz w:val="24"/>
                      <w:szCs w:val="24"/>
                    </w:rPr>
                  </w:pPr>
                  <w:r w:rsidRPr="00BF7902">
                    <w:rPr>
                      <w:rFonts w:ascii="Times New Roman" w:eastAsia="Times New Roman" w:hAnsi="Times New Roman" w:cs="Times New Roman"/>
                      <w:sz w:val="24"/>
                      <w:szCs w:val="24"/>
                    </w:rPr>
                    <w:t>   </w:t>
                  </w:r>
                </w:p>
              </w:tc>
              <w:tc>
                <w:tcPr>
                  <w:tcW w:w="2700" w:type="dxa"/>
                  <w:shd w:val="clear" w:color="auto" w:fill="FFFFFF"/>
                  <w:hideMark/>
                </w:tcPr>
                <w:p w:rsidR="00D01E4C" w:rsidRDefault="00D01E4C" w:rsidP="00D01E4C">
                  <w:pPr>
                    <w:spacing w:before="100" w:beforeAutospacing="1" w:after="100" w:afterAutospacing="1" w:line="240" w:lineRule="auto"/>
                    <w:jc w:val="center"/>
                    <w:rPr>
                      <w:rFonts w:ascii="Helvetica" w:eastAsia="Times New Roman" w:hAnsi="Helvetica" w:cs="Helvetica"/>
                      <w:color w:val="0000FF"/>
                      <w:sz w:val="24"/>
                      <w:szCs w:val="24"/>
                      <w:u w:val="single"/>
                    </w:rPr>
                  </w:pPr>
                  <w:r w:rsidRPr="00BF7902">
                    <w:rPr>
                      <w:rFonts w:ascii="Times New Roman" w:eastAsia="Times New Roman" w:hAnsi="Times New Roman" w:cs="Times New Roman"/>
                      <w:noProof/>
                      <w:sz w:val="24"/>
                      <w:szCs w:val="24"/>
                    </w:rPr>
                    <w:drawing>
                      <wp:inline distT="0" distB="0" distL="0" distR="0" wp14:anchorId="0221CC6C" wp14:editId="65AC0CCB">
                        <wp:extent cx="1693067" cy="1269800"/>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ummer-Youth-Employment"/>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693067" cy="1269800"/>
                                </a:xfrm>
                                <a:prstGeom prst="rect">
                                  <a:avLst/>
                                </a:prstGeom>
                                <a:noFill/>
                                <a:ln>
                                  <a:noFill/>
                                </a:ln>
                              </pic:spPr>
                            </pic:pic>
                          </a:graphicData>
                        </a:graphic>
                      </wp:inline>
                    </w:drawing>
                  </w:r>
                </w:p>
                <w:p w:rsidR="00326990" w:rsidRDefault="00D01E4C" w:rsidP="00326990">
                  <w:pPr>
                    <w:spacing w:before="100" w:beforeAutospacing="1" w:after="100" w:afterAutospacing="1" w:line="240" w:lineRule="auto"/>
                    <w:rPr>
                      <w:rFonts w:ascii="Garamond" w:eastAsia="Times New Roman" w:hAnsi="Garamond" w:cs="Times New Roman"/>
                      <w:sz w:val="24"/>
                      <w:szCs w:val="24"/>
                    </w:rPr>
                  </w:pPr>
                  <w:r>
                    <w:rPr>
                      <w:rFonts w:ascii="Helvetica" w:eastAsia="Times New Roman" w:hAnsi="Helvetica" w:cs="Helvetica"/>
                      <w:color w:val="0000FF"/>
                      <w:sz w:val="24"/>
                      <w:szCs w:val="24"/>
                      <w:u w:val="single"/>
                    </w:rPr>
                    <w:br/>
                  </w:r>
                  <w:r>
                    <w:rPr>
                      <w:rFonts w:ascii="Helvetica" w:eastAsia="Times New Roman" w:hAnsi="Helvetica" w:cs="Helvetica"/>
                      <w:color w:val="0000FF"/>
                      <w:sz w:val="24"/>
                      <w:szCs w:val="24"/>
                      <w:u w:val="single"/>
                    </w:rPr>
                    <w:br/>
                  </w:r>
                  <w:hyperlink r:id="rId20" w:history="1">
                    <w:r w:rsidR="00326990" w:rsidRPr="00326990">
                      <w:rPr>
                        <w:rStyle w:val="Hyperlink"/>
                        <w:rFonts w:ascii="Garamond" w:eastAsia="Times New Roman" w:hAnsi="Garamond" w:cs="Helvetica"/>
                        <w:b/>
                        <w:sz w:val="24"/>
                        <w:szCs w:val="24"/>
                      </w:rPr>
                      <w:t>Preparing students with disabilities for postsecondary education</w:t>
                    </w:r>
                  </w:hyperlink>
                  <w:r w:rsidR="00326990">
                    <w:rPr>
                      <w:rFonts w:ascii="Garamond" w:eastAsia="Times New Roman" w:hAnsi="Garamond" w:cs="Times New Roman"/>
                      <w:b/>
                      <w:sz w:val="24"/>
                      <w:szCs w:val="24"/>
                    </w:rPr>
                    <w:br/>
                  </w:r>
                  <w:r w:rsidR="00361B87">
                    <w:rPr>
                      <w:rFonts w:ascii="Garamond" w:eastAsia="Times New Roman" w:hAnsi="Garamond" w:cs="Times New Roman"/>
                      <w:sz w:val="24"/>
                      <w:szCs w:val="24"/>
                    </w:rPr>
                    <w:br/>
                  </w:r>
                  <w:r w:rsidR="00361B87">
                    <w:rPr>
                      <w:rFonts w:ascii="Garamond" w:eastAsia="Times New Roman" w:hAnsi="Garamond" w:cs="Times New Roman"/>
                      <w:sz w:val="24"/>
                      <w:szCs w:val="24"/>
                    </w:rPr>
                    <w:br/>
                  </w:r>
                  <w:r w:rsidR="00326990">
                    <w:rPr>
                      <w:rFonts w:ascii="Garamond" w:eastAsia="Times New Roman" w:hAnsi="Garamond" w:cs="Times New Roman"/>
                      <w:sz w:val="24"/>
                      <w:szCs w:val="24"/>
                    </w:rPr>
                    <w:t>It is important for students with disabilities to understand their rights. Federal laws prohibit discrimination based on disability. This resource guide is designed to assist those who work with high school students with disabilities who plan to continue their education in postsecondary institutions, including vocational and career schools, two - and four – year colleges, and universities</w:t>
                  </w:r>
                  <w:r w:rsidR="00361B87">
                    <w:rPr>
                      <w:rFonts w:ascii="Garamond" w:eastAsia="Times New Roman" w:hAnsi="Garamond" w:cs="Times New Roman"/>
                      <w:sz w:val="24"/>
                      <w:szCs w:val="24"/>
                    </w:rPr>
                    <w:t>.</w:t>
                  </w:r>
                  <w:r w:rsidR="00326990">
                    <w:rPr>
                      <w:rFonts w:ascii="Garamond" w:eastAsia="Times New Roman" w:hAnsi="Garamond" w:cs="Times New Roman"/>
                      <w:sz w:val="24"/>
                      <w:szCs w:val="24"/>
                    </w:rPr>
                    <w:t xml:space="preserve"> Because postsecondary institutions differ significantly from high school, it is imperative that students with disabilities know their rights and responsibilities and self-advocate in order to be successful.</w:t>
                  </w:r>
                </w:p>
                <w:p w:rsidR="00BF7902" w:rsidRPr="00361B87" w:rsidRDefault="00D01E4C" w:rsidP="00326990">
                  <w:pPr>
                    <w:spacing w:before="100" w:beforeAutospacing="1" w:after="100" w:afterAutospacing="1" w:line="240" w:lineRule="auto"/>
                    <w:rPr>
                      <w:rFonts w:ascii="Garamond" w:eastAsia="Times New Roman" w:hAnsi="Garamond" w:cs="Times New Roman"/>
                      <w:b/>
                      <w:sz w:val="24"/>
                      <w:szCs w:val="24"/>
                    </w:rPr>
                  </w:pPr>
                  <w:r w:rsidRPr="00BF7902">
                    <w:rPr>
                      <w:rFonts w:ascii="Garamond" w:eastAsia="Times New Roman" w:hAnsi="Garamond" w:cs="Times New Roman"/>
                      <w:sz w:val="24"/>
                      <w:szCs w:val="24"/>
                    </w:rPr>
                    <w:t xml:space="preserve"> </w:t>
                  </w:r>
                  <w:hyperlink r:id="rId21" w:tgtFrame="_blank" w:tooltip="Problem Solving &amp; Critical Thinking" w:history="1">
                    <w:r w:rsidRPr="00817A56">
                      <w:rPr>
                        <w:rFonts w:ascii="Garamond" w:eastAsia="Times New Roman" w:hAnsi="Garamond" w:cs="Times New Roman"/>
                        <w:b/>
                        <w:color w:val="0000FF"/>
                        <w:sz w:val="24"/>
                        <w:szCs w:val="24"/>
                        <w:u w:val="single"/>
                      </w:rPr>
                      <w:t>Continue reading</w:t>
                    </w:r>
                  </w:hyperlink>
                  <w:r w:rsidRPr="00BF7902">
                    <w:rPr>
                      <w:rFonts w:ascii="Times New Roman" w:eastAsia="Times New Roman" w:hAnsi="Times New Roman" w:cs="Times New Roman"/>
                      <w:sz w:val="24"/>
                      <w:szCs w:val="24"/>
                    </w:rPr>
                    <w:t>...</w:t>
                  </w:r>
                </w:p>
              </w:tc>
              <w:tc>
                <w:tcPr>
                  <w:tcW w:w="50" w:type="dxa"/>
                  <w:shd w:val="clear" w:color="auto" w:fill="FFFFFF"/>
                  <w:vAlign w:val="center"/>
                  <w:hideMark/>
                </w:tcPr>
                <w:p w:rsidR="00BF7902" w:rsidRPr="00BF7902" w:rsidRDefault="00BF7902" w:rsidP="00BF7902">
                  <w:pPr>
                    <w:spacing w:after="0" w:line="240" w:lineRule="auto"/>
                    <w:rPr>
                      <w:rFonts w:ascii="Times New Roman" w:eastAsia="Times New Roman" w:hAnsi="Times New Roman" w:cs="Times New Roman"/>
                      <w:sz w:val="24"/>
                      <w:szCs w:val="24"/>
                    </w:rPr>
                  </w:pPr>
                  <w:r w:rsidRPr="00BF7902">
                    <w:rPr>
                      <w:rFonts w:ascii="Times New Roman" w:eastAsia="Times New Roman" w:hAnsi="Times New Roman" w:cs="Times New Roman"/>
                      <w:sz w:val="24"/>
                      <w:szCs w:val="24"/>
                    </w:rPr>
                    <w:t>   </w:t>
                  </w:r>
                </w:p>
              </w:tc>
              <w:tc>
                <w:tcPr>
                  <w:tcW w:w="3070" w:type="dxa"/>
                  <w:shd w:val="clear" w:color="auto" w:fill="FFFFFF"/>
                  <w:hideMark/>
                </w:tcPr>
                <w:p w:rsidR="00D01E4C" w:rsidRPr="00BF7902" w:rsidRDefault="00D01E4C" w:rsidP="00D01E4C">
                  <w:pPr>
                    <w:spacing w:before="100" w:beforeAutospacing="1" w:after="100" w:afterAutospacing="1" w:line="240" w:lineRule="auto"/>
                    <w:jc w:val="center"/>
                    <w:rPr>
                      <w:rFonts w:ascii="Times New Roman" w:eastAsia="Times New Roman" w:hAnsi="Times New Roman" w:cs="Times New Roman"/>
                      <w:sz w:val="24"/>
                      <w:szCs w:val="24"/>
                    </w:rPr>
                  </w:pPr>
                  <w:r w:rsidRPr="00BF7902">
                    <w:rPr>
                      <w:rFonts w:ascii="Times New Roman" w:eastAsia="Times New Roman" w:hAnsi="Times New Roman" w:cs="Times New Roman"/>
                      <w:noProof/>
                      <w:sz w:val="24"/>
                      <w:szCs w:val="24"/>
                    </w:rPr>
                    <w:drawing>
                      <wp:inline distT="0" distB="0" distL="0" distR="0" wp14:anchorId="1380B64C" wp14:editId="4BDE4C50">
                        <wp:extent cx="1872506" cy="12496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WIOA: What Human Services Agencies &amp; Advocates Need to Know"/>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880921" cy="1255296"/>
                                </a:xfrm>
                                <a:prstGeom prst="rect">
                                  <a:avLst/>
                                </a:prstGeom>
                                <a:noFill/>
                                <a:ln>
                                  <a:noFill/>
                                </a:ln>
                              </pic:spPr>
                            </pic:pic>
                          </a:graphicData>
                        </a:graphic>
                      </wp:inline>
                    </w:drawing>
                  </w:r>
                </w:p>
                <w:p w:rsidR="00D01E4C" w:rsidRDefault="00D01E4C" w:rsidP="00D01E4C">
                  <w:pPr>
                    <w:spacing w:before="100" w:beforeAutospacing="1" w:after="100" w:afterAutospacing="1" w:line="240" w:lineRule="auto"/>
                    <w:rPr>
                      <w:rFonts w:ascii="Helvetica" w:eastAsia="Times New Roman" w:hAnsi="Helvetica" w:cs="Helvetica"/>
                      <w:color w:val="0000FF"/>
                      <w:sz w:val="24"/>
                      <w:szCs w:val="24"/>
                      <w:u w:val="single"/>
                    </w:rPr>
                  </w:pPr>
                </w:p>
                <w:p w:rsidR="00D01E4C" w:rsidRPr="00326990" w:rsidRDefault="00361B87" w:rsidP="00D01E4C">
                  <w:pPr>
                    <w:spacing w:before="100" w:beforeAutospacing="1" w:after="100" w:afterAutospacing="1" w:line="240" w:lineRule="auto"/>
                    <w:rPr>
                      <w:rStyle w:val="Hyperlink"/>
                      <w:rFonts w:ascii="Garamond" w:eastAsia="Times New Roman" w:hAnsi="Garamond" w:cs="Helvetica"/>
                      <w:b/>
                      <w:sz w:val="24"/>
                      <w:szCs w:val="24"/>
                    </w:rPr>
                  </w:pPr>
                  <w:r w:rsidRPr="00326990">
                    <w:rPr>
                      <w:rFonts w:ascii="Garamond" w:eastAsia="Times New Roman" w:hAnsi="Garamond" w:cs="Helvetica"/>
                      <w:b/>
                      <w:sz w:val="24"/>
                      <w:szCs w:val="24"/>
                    </w:rPr>
                    <w:fldChar w:fldCharType="begin"/>
                  </w:r>
                  <w:r w:rsidR="00326990" w:rsidRPr="00326990">
                    <w:rPr>
                      <w:rFonts w:ascii="Garamond" w:eastAsia="Times New Roman" w:hAnsi="Garamond" w:cs="Helvetica"/>
                      <w:b/>
                      <w:sz w:val="24"/>
                      <w:szCs w:val="24"/>
                    </w:rPr>
                    <w:instrText>HYPERLINK "http://centerontransition.org/documents/publications/Fostering_SelfDetermination_in_Higher_Education.pdf"</w:instrText>
                  </w:r>
                  <w:r w:rsidRPr="00326990">
                    <w:rPr>
                      <w:rFonts w:ascii="Garamond" w:eastAsia="Times New Roman" w:hAnsi="Garamond" w:cs="Helvetica"/>
                      <w:b/>
                      <w:sz w:val="24"/>
                      <w:szCs w:val="24"/>
                    </w:rPr>
                    <w:fldChar w:fldCharType="separate"/>
                  </w:r>
                  <w:r w:rsidR="00326990" w:rsidRPr="00326990">
                    <w:rPr>
                      <w:rStyle w:val="Hyperlink"/>
                      <w:rFonts w:ascii="Garamond" w:eastAsia="Times New Roman" w:hAnsi="Garamond" w:cs="Helvetica"/>
                      <w:b/>
                      <w:sz w:val="24"/>
                      <w:szCs w:val="24"/>
                    </w:rPr>
                    <w:t>Fostering self-determination in higher education: Identifying evidence-based practices</w:t>
                  </w:r>
                </w:p>
                <w:p w:rsidR="00D01E4C" w:rsidRPr="00361B87" w:rsidRDefault="00361B87" w:rsidP="00361B87">
                  <w:pPr>
                    <w:spacing w:before="100" w:beforeAutospacing="1" w:after="100" w:afterAutospacing="1" w:line="240" w:lineRule="auto"/>
                    <w:rPr>
                      <w:rFonts w:ascii="Garamond" w:eastAsia="Times New Roman" w:hAnsi="Garamond" w:cs="Times New Roman"/>
                      <w:sz w:val="24"/>
                      <w:szCs w:val="24"/>
                    </w:rPr>
                  </w:pPr>
                  <w:r w:rsidRPr="00326990">
                    <w:rPr>
                      <w:rFonts w:ascii="Garamond" w:eastAsia="Times New Roman" w:hAnsi="Garamond" w:cs="Helvetica"/>
                      <w:b/>
                      <w:sz w:val="24"/>
                      <w:szCs w:val="24"/>
                    </w:rPr>
                    <w:fldChar w:fldCharType="end"/>
                  </w:r>
                  <w:r w:rsidR="00326990">
                    <w:rPr>
                      <w:rFonts w:ascii="Garamond" w:eastAsia="Times New Roman" w:hAnsi="Garamond" w:cs="Times New Roman"/>
                      <w:sz w:val="24"/>
                      <w:szCs w:val="24"/>
                    </w:rPr>
                    <w:t>Research on transition of students with disabilities and their post-school outcomes continue to move the field of special education in the direction of evidence-based practices. As special education professionals work to better recognize the impact of instructional and environmental characteristics to prepare youth for their transition, so must postsecondary education professionals. There is a need for a unified research agenda in the field of higher education and disability to conduct rigorous studies on evidence-based predicators that correlate with improved outcomes in retention, graduation, and future education or employment</w:t>
                  </w:r>
                  <w:r>
                    <w:rPr>
                      <w:rFonts w:ascii="Garamond" w:eastAsia="Times New Roman" w:hAnsi="Garamond" w:cs="Times New Roman"/>
                      <w:sz w:val="24"/>
                      <w:szCs w:val="24"/>
                    </w:rPr>
                    <w:t>.</w:t>
                  </w:r>
                  <w:r w:rsidR="00326990">
                    <w:rPr>
                      <w:rFonts w:ascii="Garamond" w:eastAsia="Times New Roman" w:hAnsi="Garamond" w:cs="Times New Roman"/>
                      <w:sz w:val="24"/>
                      <w:szCs w:val="24"/>
                    </w:rPr>
                    <w:br/>
                  </w:r>
                  <w:r>
                    <w:rPr>
                      <w:rFonts w:ascii="Garamond" w:eastAsia="Times New Roman" w:hAnsi="Garamond" w:cs="Times New Roman"/>
                      <w:sz w:val="24"/>
                      <w:szCs w:val="24"/>
                    </w:rPr>
                    <w:t xml:space="preserve"> </w:t>
                  </w:r>
                  <w:r w:rsidR="00D01E4C">
                    <w:rPr>
                      <w:rFonts w:ascii="Garamond" w:eastAsia="Times New Roman" w:hAnsi="Garamond" w:cs="Times New Roman"/>
                      <w:sz w:val="24"/>
                      <w:szCs w:val="24"/>
                    </w:rPr>
                    <w:t xml:space="preserve"> </w:t>
                  </w:r>
                  <w:r>
                    <w:rPr>
                      <w:rFonts w:ascii="Garamond" w:eastAsia="Times New Roman" w:hAnsi="Garamond" w:cs="Times New Roman"/>
                      <w:sz w:val="24"/>
                      <w:szCs w:val="24"/>
                    </w:rPr>
                    <w:br/>
                  </w:r>
                  <w:hyperlink r:id="rId23" w:tgtFrame="_blank" w:history="1">
                    <w:r w:rsidR="00D01E4C" w:rsidRPr="00817A56">
                      <w:rPr>
                        <w:rFonts w:ascii="Garamond" w:eastAsia="Times New Roman" w:hAnsi="Garamond" w:cs="Times New Roman"/>
                        <w:b/>
                        <w:color w:val="0000FF"/>
                        <w:sz w:val="24"/>
                        <w:szCs w:val="24"/>
                        <w:u w:val="single"/>
                      </w:rPr>
                      <w:t>Continue reading</w:t>
                    </w:r>
                  </w:hyperlink>
                  <w:r w:rsidR="00D01E4C" w:rsidRPr="00BF7902">
                    <w:rPr>
                      <w:rFonts w:ascii="Times New Roman" w:eastAsia="Times New Roman" w:hAnsi="Times New Roman" w:cs="Times New Roman"/>
                      <w:sz w:val="24"/>
                      <w:szCs w:val="24"/>
                    </w:rPr>
                    <w:t>...</w:t>
                  </w:r>
                </w:p>
                <w:p w:rsidR="00BF7902" w:rsidRPr="00BF7902" w:rsidRDefault="00BF7902" w:rsidP="00DE7423">
                  <w:pPr>
                    <w:spacing w:before="100" w:beforeAutospacing="1" w:after="100" w:afterAutospacing="1" w:line="240" w:lineRule="auto"/>
                    <w:rPr>
                      <w:rFonts w:ascii="Times New Roman" w:eastAsia="Times New Roman" w:hAnsi="Times New Roman" w:cs="Times New Roman"/>
                      <w:sz w:val="24"/>
                      <w:szCs w:val="24"/>
                    </w:rPr>
                  </w:pPr>
                </w:p>
              </w:tc>
              <w:tc>
                <w:tcPr>
                  <w:tcW w:w="210" w:type="dxa"/>
                  <w:shd w:val="clear" w:color="auto" w:fill="FFFFFF"/>
                  <w:vAlign w:val="center"/>
                  <w:hideMark/>
                </w:tcPr>
                <w:p w:rsidR="00BF7902" w:rsidRPr="00BF7902" w:rsidRDefault="00BF7902" w:rsidP="00BF7902">
                  <w:pPr>
                    <w:spacing w:after="0" w:line="240" w:lineRule="auto"/>
                    <w:rPr>
                      <w:rFonts w:ascii="Times New Roman" w:eastAsia="Times New Roman" w:hAnsi="Times New Roman" w:cs="Times New Roman"/>
                      <w:sz w:val="24"/>
                      <w:szCs w:val="24"/>
                    </w:rPr>
                  </w:pPr>
                  <w:r w:rsidRPr="00BF7902">
                    <w:rPr>
                      <w:rFonts w:ascii="Times New Roman" w:eastAsia="Times New Roman" w:hAnsi="Times New Roman" w:cs="Times New Roman"/>
                      <w:sz w:val="24"/>
                      <w:szCs w:val="24"/>
                    </w:rPr>
                    <w:t>   </w:t>
                  </w:r>
                </w:p>
              </w:tc>
            </w:tr>
          </w:tbl>
          <w:p w:rsidR="00BF7902" w:rsidRPr="00BF7902" w:rsidRDefault="00BF7902" w:rsidP="00BF7902">
            <w:pPr>
              <w:spacing w:after="0" w:line="240" w:lineRule="auto"/>
              <w:jc w:val="center"/>
              <w:rPr>
                <w:rFonts w:ascii="Times New Roman" w:eastAsia="Times New Roman" w:hAnsi="Times New Roman" w:cs="Times New Roman"/>
                <w:sz w:val="24"/>
                <w:szCs w:val="24"/>
              </w:rPr>
            </w:pPr>
          </w:p>
        </w:tc>
      </w:tr>
      <w:tr w:rsidR="00BF7902" w:rsidRPr="00BF7902" w:rsidTr="0022072B">
        <w:trPr>
          <w:tblCellSpacing w:w="0" w:type="dxa"/>
          <w:jc w:val="center"/>
        </w:trPr>
        <w:tc>
          <w:tcPr>
            <w:tcW w:w="9360" w:type="dxa"/>
            <w:gridSpan w:val="3"/>
            <w:shd w:val="clear" w:color="auto" w:fill="305E76"/>
            <w:vAlign w:val="center"/>
            <w:hideMark/>
          </w:tcPr>
          <w:tbl>
            <w:tblPr>
              <w:tblW w:w="7200" w:type="dxa"/>
              <w:jc w:val="center"/>
              <w:tblCellSpacing w:w="0" w:type="dxa"/>
              <w:shd w:val="clear" w:color="auto" w:fill="F7F7F7"/>
              <w:tblLayout w:type="fixed"/>
              <w:tblCellMar>
                <w:left w:w="0" w:type="dxa"/>
                <w:right w:w="0" w:type="dxa"/>
              </w:tblCellMar>
              <w:tblLook w:val="04A0" w:firstRow="1" w:lastRow="0" w:firstColumn="1" w:lastColumn="0" w:noHBand="0" w:noVBand="1"/>
            </w:tblPr>
            <w:tblGrid>
              <w:gridCol w:w="120"/>
              <w:gridCol w:w="6960"/>
              <w:gridCol w:w="120"/>
            </w:tblGrid>
            <w:tr w:rsidR="00BF7902" w:rsidRPr="00BF7902" w:rsidTr="0022072B">
              <w:trPr>
                <w:tblCellSpacing w:w="0" w:type="dxa"/>
                <w:jc w:val="center"/>
              </w:trPr>
              <w:tc>
                <w:tcPr>
                  <w:tcW w:w="120" w:type="dxa"/>
                  <w:shd w:val="clear" w:color="auto" w:fill="F7F7F7"/>
                  <w:vAlign w:val="center"/>
                  <w:hideMark/>
                </w:tcPr>
                <w:p w:rsidR="00BF7902" w:rsidRPr="00BF7902" w:rsidRDefault="00BF7902" w:rsidP="00BF7902">
                  <w:pPr>
                    <w:spacing w:after="0" w:line="240" w:lineRule="auto"/>
                    <w:rPr>
                      <w:rFonts w:ascii="Times New Roman" w:eastAsia="Times New Roman" w:hAnsi="Times New Roman" w:cs="Times New Roman"/>
                      <w:sz w:val="24"/>
                      <w:szCs w:val="24"/>
                    </w:rPr>
                  </w:pPr>
                  <w:r w:rsidRPr="00BF7902">
                    <w:rPr>
                      <w:rFonts w:ascii="Times New Roman" w:eastAsia="Times New Roman" w:hAnsi="Times New Roman" w:cs="Times New Roman"/>
                      <w:sz w:val="24"/>
                      <w:szCs w:val="24"/>
                    </w:rPr>
                    <w:lastRenderedPageBreak/>
                    <w:t>  </w:t>
                  </w:r>
                </w:p>
              </w:tc>
              <w:tc>
                <w:tcPr>
                  <w:tcW w:w="6960" w:type="dxa"/>
                  <w:shd w:val="clear" w:color="auto" w:fill="F7F7F7"/>
                  <w:vAlign w:val="center"/>
                  <w:hideMark/>
                </w:tcPr>
                <w:p w:rsidR="00BF7902" w:rsidRPr="00BF7902" w:rsidRDefault="00BF7902" w:rsidP="00BF7902">
                  <w:pPr>
                    <w:spacing w:before="100" w:beforeAutospacing="1" w:after="100" w:afterAutospacing="1" w:line="240" w:lineRule="auto"/>
                    <w:jc w:val="center"/>
                    <w:rPr>
                      <w:rFonts w:ascii="Times New Roman" w:eastAsia="Times New Roman" w:hAnsi="Times New Roman" w:cs="Times New Roman"/>
                      <w:sz w:val="24"/>
                      <w:szCs w:val="24"/>
                    </w:rPr>
                  </w:pPr>
                  <w:r w:rsidRPr="00BF7902">
                    <w:rPr>
                      <w:rFonts w:ascii="Times New Roman" w:eastAsia="Times New Roman" w:hAnsi="Times New Roman" w:cs="Times New Roman"/>
                      <w:sz w:val="24"/>
                      <w:szCs w:val="24"/>
                    </w:rPr>
                    <w:t> </w:t>
                  </w:r>
                </w:p>
                <w:p w:rsidR="00BF7902" w:rsidRPr="00BF7902" w:rsidRDefault="00BF7902" w:rsidP="00BF7902">
                  <w:pPr>
                    <w:spacing w:before="100" w:beforeAutospacing="1" w:after="100" w:afterAutospacing="1" w:line="240" w:lineRule="auto"/>
                    <w:jc w:val="center"/>
                    <w:rPr>
                      <w:rFonts w:ascii="Garamond" w:eastAsia="Times New Roman" w:hAnsi="Garamond" w:cs="Times New Roman"/>
                      <w:sz w:val="24"/>
                      <w:szCs w:val="24"/>
                    </w:rPr>
                  </w:pPr>
                  <w:r w:rsidRPr="00BF7902">
                    <w:rPr>
                      <w:rFonts w:ascii="Garamond" w:eastAsia="Times New Roman" w:hAnsi="Garamond" w:cs="Helvetica"/>
                      <w:color w:val="333333"/>
                      <w:sz w:val="33"/>
                      <w:szCs w:val="33"/>
                    </w:rPr>
                    <w:t>UPCOMING EVENTS</w:t>
                  </w:r>
                </w:p>
                <w:p w:rsidR="00BF7902" w:rsidRPr="00BF7902" w:rsidRDefault="00BF7902" w:rsidP="00817A56">
                  <w:pPr>
                    <w:spacing w:before="100" w:beforeAutospacing="1" w:after="100" w:afterAutospacing="1" w:line="240" w:lineRule="auto"/>
                    <w:jc w:val="center"/>
                    <w:rPr>
                      <w:rFonts w:ascii="Garamond" w:eastAsia="Times New Roman" w:hAnsi="Garamond" w:cs="Times New Roman"/>
                      <w:sz w:val="24"/>
                      <w:szCs w:val="24"/>
                    </w:rPr>
                  </w:pPr>
                  <w:r w:rsidRPr="00817A56">
                    <w:rPr>
                      <w:rFonts w:ascii="Garamond" w:eastAsia="Times New Roman" w:hAnsi="Garamond" w:cs="Times New Roman"/>
                      <w:b/>
                      <w:bCs/>
                      <w:sz w:val="24"/>
                      <w:szCs w:val="24"/>
                    </w:rPr>
                    <w:lastRenderedPageBreak/>
                    <w:t>PROMISE Grantee 'Family Meeting'</w:t>
                  </w:r>
                  <w:r w:rsidRPr="00BF7902">
                    <w:rPr>
                      <w:rFonts w:ascii="Garamond" w:eastAsia="Times New Roman" w:hAnsi="Garamond" w:cs="Times New Roman"/>
                      <w:sz w:val="24"/>
                      <w:szCs w:val="24"/>
                    </w:rPr>
                    <w:t> </w:t>
                  </w:r>
                </w:p>
                <w:p w:rsidR="00BF7902" w:rsidRPr="00BF7902" w:rsidRDefault="00BF7902" w:rsidP="00BF7902">
                  <w:pPr>
                    <w:spacing w:before="100" w:beforeAutospacing="1" w:after="100" w:afterAutospacing="1" w:line="240" w:lineRule="auto"/>
                    <w:jc w:val="center"/>
                    <w:rPr>
                      <w:rFonts w:ascii="Garamond" w:eastAsia="Times New Roman" w:hAnsi="Garamond" w:cs="Times New Roman"/>
                      <w:sz w:val="24"/>
                      <w:szCs w:val="24"/>
                    </w:rPr>
                  </w:pPr>
                  <w:r w:rsidRPr="00BF7902">
                    <w:rPr>
                      <w:rFonts w:ascii="Garamond" w:eastAsia="Times New Roman" w:hAnsi="Garamond" w:cs="Times New Roman"/>
                      <w:sz w:val="24"/>
                      <w:szCs w:val="24"/>
                    </w:rPr>
                    <w:t>October 1, 2015</w:t>
                  </w:r>
                </w:p>
                <w:p w:rsidR="00BF7902" w:rsidRPr="00BF7902" w:rsidRDefault="00BF7902" w:rsidP="00BF7902">
                  <w:pPr>
                    <w:spacing w:before="100" w:beforeAutospacing="1" w:after="100" w:afterAutospacing="1" w:line="240" w:lineRule="auto"/>
                    <w:jc w:val="center"/>
                    <w:rPr>
                      <w:rFonts w:ascii="Garamond" w:eastAsia="Times New Roman" w:hAnsi="Garamond" w:cs="Times New Roman"/>
                      <w:sz w:val="24"/>
                      <w:szCs w:val="24"/>
                    </w:rPr>
                  </w:pPr>
                  <w:r w:rsidRPr="00BF7902">
                    <w:rPr>
                      <w:rFonts w:ascii="Garamond" w:eastAsia="Times New Roman" w:hAnsi="Garamond" w:cs="Times New Roman"/>
                      <w:sz w:val="24"/>
                      <w:szCs w:val="24"/>
                    </w:rPr>
                    <w:t>2:00 - 3:30, EST</w:t>
                  </w:r>
                </w:p>
                <w:p w:rsidR="00BF7902" w:rsidRPr="00BF7902" w:rsidRDefault="00BF7902" w:rsidP="00BF7902">
                  <w:pPr>
                    <w:spacing w:before="100" w:beforeAutospacing="1" w:after="100" w:afterAutospacing="1" w:line="240" w:lineRule="auto"/>
                    <w:jc w:val="center"/>
                    <w:rPr>
                      <w:rFonts w:ascii="Garamond" w:eastAsia="Times New Roman" w:hAnsi="Garamond" w:cs="Times New Roman"/>
                      <w:sz w:val="24"/>
                      <w:szCs w:val="24"/>
                    </w:rPr>
                  </w:pPr>
                  <w:r w:rsidRPr="00BF7902">
                    <w:rPr>
                      <w:rFonts w:ascii="Garamond" w:eastAsia="Times New Roman" w:hAnsi="Garamond" w:cs="Times New Roman"/>
                      <w:sz w:val="24"/>
                      <w:szCs w:val="24"/>
                    </w:rPr>
                    <w:t> </w:t>
                  </w:r>
                </w:p>
                <w:p w:rsidR="00BF7902" w:rsidRPr="00D01E4C" w:rsidRDefault="00BF7902" w:rsidP="00BF7902">
                  <w:pPr>
                    <w:spacing w:before="100" w:beforeAutospacing="1" w:after="100" w:afterAutospacing="1" w:line="240" w:lineRule="auto"/>
                    <w:jc w:val="center"/>
                    <w:rPr>
                      <w:rFonts w:ascii="Garamond" w:eastAsia="Times New Roman" w:hAnsi="Garamond" w:cs="Times New Roman"/>
                      <w:i/>
                      <w:sz w:val="24"/>
                      <w:szCs w:val="24"/>
                      <w:u w:val="single"/>
                    </w:rPr>
                  </w:pPr>
                  <w:r w:rsidRPr="00817A56">
                    <w:rPr>
                      <w:rFonts w:ascii="Garamond" w:eastAsia="Times New Roman" w:hAnsi="Garamond" w:cs="Times New Roman"/>
                      <w:b/>
                      <w:bCs/>
                      <w:sz w:val="24"/>
                      <w:szCs w:val="24"/>
                    </w:rPr>
                    <w:t>Annual PROMISE Meeting</w:t>
                  </w:r>
                  <w:r w:rsidR="00D01E4C">
                    <w:rPr>
                      <w:rFonts w:ascii="Garamond" w:eastAsia="Times New Roman" w:hAnsi="Garamond" w:cs="Times New Roman"/>
                      <w:b/>
                      <w:bCs/>
                      <w:sz w:val="24"/>
                      <w:szCs w:val="24"/>
                    </w:rPr>
                    <w:br/>
                  </w:r>
                  <w:r w:rsidR="00D01E4C">
                    <w:rPr>
                      <w:rFonts w:ascii="Garamond" w:eastAsia="Times New Roman" w:hAnsi="Garamond" w:cs="Times New Roman"/>
                      <w:bCs/>
                      <w:i/>
                      <w:sz w:val="24"/>
                      <w:szCs w:val="24"/>
                      <w:u w:val="single"/>
                    </w:rPr>
                    <w:t>Registration Coming Soon!</w:t>
                  </w:r>
                </w:p>
                <w:p w:rsidR="00BF7902" w:rsidRPr="00BF7902" w:rsidRDefault="00BF7902" w:rsidP="00BF7902">
                  <w:pPr>
                    <w:spacing w:before="100" w:beforeAutospacing="1" w:after="100" w:afterAutospacing="1" w:line="240" w:lineRule="auto"/>
                    <w:jc w:val="center"/>
                    <w:rPr>
                      <w:rFonts w:ascii="Garamond" w:eastAsia="Times New Roman" w:hAnsi="Garamond" w:cs="Times New Roman"/>
                      <w:sz w:val="24"/>
                      <w:szCs w:val="24"/>
                    </w:rPr>
                  </w:pPr>
                  <w:r w:rsidRPr="00BF7902">
                    <w:rPr>
                      <w:rFonts w:ascii="Garamond" w:eastAsia="Times New Roman" w:hAnsi="Garamond" w:cs="Times New Roman"/>
                      <w:sz w:val="24"/>
                      <w:szCs w:val="24"/>
                    </w:rPr>
                    <w:t>November 18-19, 2015 (with the option of attending the AUCD conference -- November 16-18, 2015)</w:t>
                  </w:r>
                </w:p>
                <w:p w:rsidR="00BF7902" w:rsidRPr="00BF7902" w:rsidRDefault="003628F6" w:rsidP="00BF7902">
                  <w:pPr>
                    <w:spacing w:before="100" w:beforeAutospacing="1" w:after="100" w:afterAutospacing="1" w:line="240" w:lineRule="auto"/>
                    <w:jc w:val="center"/>
                    <w:rPr>
                      <w:rFonts w:ascii="Garamond" w:eastAsia="Times New Roman" w:hAnsi="Garamond" w:cs="Times New Roman"/>
                      <w:sz w:val="24"/>
                      <w:szCs w:val="24"/>
                    </w:rPr>
                  </w:pPr>
                  <w:hyperlink r:id="rId24" w:tgtFrame="_blank" w:tooltip="PROMISE TA Center Website" w:history="1">
                    <w:r w:rsidR="00BF7902" w:rsidRPr="00817A56">
                      <w:rPr>
                        <w:rFonts w:ascii="Garamond" w:eastAsia="Times New Roman" w:hAnsi="Garamond" w:cs="Times New Roman"/>
                        <w:b/>
                        <w:bCs/>
                        <w:color w:val="0000FF"/>
                        <w:sz w:val="24"/>
                        <w:szCs w:val="24"/>
                        <w:u w:val="single"/>
                      </w:rPr>
                      <w:t>www.promisetacenter.org</w:t>
                    </w:r>
                  </w:hyperlink>
                </w:p>
                <w:p w:rsidR="00BF7902" w:rsidRPr="00BF7902" w:rsidRDefault="00BF7902" w:rsidP="00BF7902">
                  <w:pPr>
                    <w:spacing w:before="100" w:beforeAutospacing="1" w:after="100" w:afterAutospacing="1" w:line="240" w:lineRule="auto"/>
                    <w:rPr>
                      <w:rFonts w:ascii="Times New Roman" w:eastAsia="Times New Roman" w:hAnsi="Times New Roman" w:cs="Times New Roman"/>
                      <w:sz w:val="24"/>
                      <w:szCs w:val="24"/>
                    </w:rPr>
                  </w:pPr>
                  <w:r w:rsidRPr="00817A56">
                    <w:rPr>
                      <w:rFonts w:ascii="Garamond" w:eastAsia="Times New Roman" w:hAnsi="Garamond" w:cs="Times New Roman"/>
                      <w:b/>
                      <w:bCs/>
                      <w:sz w:val="24"/>
                      <w:szCs w:val="24"/>
                    </w:rPr>
                    <w:t>How to sign up for the new PROMISE TA Center Listserv:</w:t>
                  </w:r>
                  <w:r w:rsidRPr="00BF7902">
                    <w:rPr>
                      <w:rFonts w:ascii="Garamond" w:eastAsia="Times New Roman" w:hAnsi="Garamond" w:cs="Times New Roman"/>
                      <w:sz w:val="24"/>
                      <w:szCs w:val="24"/>
                    </w:rPr>
                    <w:t xml:space="preserve"> please sign-up to the PROMISE staff listserv located at the AUCD PROMISE TA Center website.  You can sign-up by using this link:  </w:t>
                  </w:r>
                  <w:hyperlink r:id="rId25" w:tgtFrame="_blank" w:history="1">
                    <w:r w:rsidRPr="00817A56">
                      <w:rPr>
                        <w:rFonts w:ascii="Garamond" w:eastAsia="Times New Roman" w:hAnsi="Garamond" w:cs="Times New Roman"/>
                        <w:color w:val="0000FF"/>
                        <w:sz w:val="24"/>
                        <w:szCs w:val="24"/>
                        <w:u w:val="single"/>
                      </w:rPr>
                      <w:t>http://www.promisetacenter.org/promise_ta_grantees_listserv</w:t>
                    </w:r>
                  </w:hyperlink>
                  <w:r w:rsidRPr="00BF7902">
                    <w:rPr>
                      <w:rFonts w:ascii="Garamond" w:eastAsia="Times New Roman" w:hAnsi="Garamond" w:cs="Times New Roman"/>
                      <w:sz w:val="24"/>
                      <w:szCs w:val="24"/>
                    </w:rPr>
                    <w:t>.  If you have any questions, please ask Leon (</w:t>
                  </w:r>
                  <w:hyperlink r:id="rId26" w:history="1">
                    <w:r w:rsidRPr="00817A56">
                      <w:rPr>
                        <w:rFonts w:ascii="Garamond" w:eastAsia="Times New Roman" w:hAnsi="Garamond" w:cs="Times New Roman"/>
                        <w:color w:val="0000FF"/>
                        <w:sz w:val="24"/>
                        <w:szCs w:val="24"/>
                        <w:u w:val="single"/>
                      </w:rPr>
                      <w:t>dbarnett@aucd.org</w:t>
                    </w:r>
                  </w:hyperlink>
                  <w:r w:rsidRPr="00BF7902">
                    <w:rPr>
                      <w:rFonts w:ascii="Garamond" w:eastAsia="Times New Roman" w:hAnsi="Garamond" w:cs="Times New Roman"/>
                      <w:sz w:val="24"/>
                      <w:szCs w:val="24"/>
                    </w:rPr>
                    <w:t>) or Michael (</w:t>
                  </w:r>
                  <w:hyperlink r:id="rId27" w:history="1">
                    <w:r w:rsidRPr="00817A56">
                      <w:rPr>
                        <w:rFonts w:ascii="Garamond" w:eastAsia="Times New Roman" w:hAnsi="Garamond" w:cs="Times New Roman"/>
                        <w:color w:val="0000FF"/>
                        <w:sz w:val="24"/>
                        <w:szCs w:val="24"/>
                        <w:u w:val="single"/>
                      </w:rPr>
                      <w:t>mgm@aucd.org</w:t>
                    </w:r>
                  </w:hyperlink>
                  <w:r w:rsidRPr="00BF7902">
                    <w:rPr>
                      <w:rFonts w:ascii="Garamond" w:eastAsia="Times New Roman" w:hAnsi="Garamond" w:cs="Times New Roman"/>
                      <w:sz w:val="24"/>
                      <w:szCs w:val="24"/>
                    </w:rPr>
                    <w:t>).</w:t>
                  </w:r>
                  <w:r w:rsidRPr="00BF7902">
                    <w:rPr>
                      <w:rFonts w:ascii="Times New Roman" w:eastAsia="Times New Roman" w:hAnsi="Times New Roman" w:cs="Times New Roman"/>
                      <w:sz w:val="24"/>
                      <w:szCs w:val="24"/>
                    </w:rPr>
                    <w:t xml:space="preserve"> </w:t>
                  </w:r>
                </w:p>
              </w:tc>
              <w:tc>
                <w:tcPr>
                  <w:tcW w:w="120" w:type="dxa"/>
                  <w:shd w:val="clear" w:color="auto" w:fill="F7F7F7"/>
                  <w:vAlign w:val="center"/>
                  <w:hideMark/>
                </w:tcPr>
                <w:p w:rsidR="00BF7902" w:rsidRPr="00BF7902" w:rsidRDefault="00BF7902" w:rsidP="00BF7902">
                  <w:pPr>
                    <w:spacing w:after="0" w:line="240" w:lineRule="auto"/>
                    <w:rPr>
                      <w:rFonts w:ascii="Times New Roman" w:eastAsia="Times New Roman" w:hAnsi="Times New Roman" w:cs="Times New Roman"/>
                      <w:sz w:val="24"/>
                      <w:szCs w:val="24"/>
                    </w:rPr>
                  </w:pPr>
                  <w:r w:rsidRPr="00BF7902">
                    <w:rPr>
                      <w:rFonts w:ascii="Times New Roman" w:eastAsia="Times New Roman" w:hAnsi="Times New Roman" w:cs="Times New Roman"/>
                      <w:sz w:val="24"/>
                      <w:szCs w:val="24"/>
                    </w:rPr>
                    <w:lastRenderedPageBreak/>
                    <w:t>  </w:t>
                  </w:r>
                </w:p>
              </w:tc>
            </w:tr>
          </w:tbl>
          <w:p w:rsidR="00BF7902" w:rsidRPr="00BF7902" w:rsidRDefault="00BF7902" w:rsidP="00BF7902">
            <w:pPr>
              <w:spacing w:after="0" w:line="240" w:lineRule="auto"/>
              <w:rPr>
                <w:rFonts w:ascii="Times New Roman" w:eastAsia="Times New Roman" w:hAnsi="Times New Roman" w:cs="Times New Roman"/>
                <w:sz w:val="24"/>
                <w:szCs w:val="24"/>
              </w:rPr>
            </w:pPr>
          </w:p>
        </w:tc>
      </w:tr>
      <w:tr w:rsidR="00B90AAB" w:rsidRPr="00BF7902" w:rsidTr="0022072B">
        <w:trPr>
          <w:tblCellSpacing w:w="0" w:type="dxa"/>
          <w:jc w:val="center"/>
        </w:trPr>
        <w:tc>
          <w:tcPr>
            <w:tcW w:w="364" w:type="dxa"/>
            <w:shd w:val="clear" w:color="auto" w:fill="305E76"/>
            <w:vAlign w:val="center"/>
            <w:hideMark/>
          </w:tcPr>
          <w:p w:rsidR="00BF7902" w:rsidRPr="00BF7902" w:rsidRDefault="00BF7902" w:rsidP="00BF7902">
            <w:pPr>
              <w:spacing w:after="0" w:line="240" w:lineRule="auto"/>
              <w:rPr>
                <w:rFonts w:ascii="Times New Roman" w:eastAsia="Times New Roman" w:hAnsi="Times New Roman" w:cs="Times New Roman"/>
                <w:sz w:val="24"/>
                <w:szCs w:val="24"/>
              </w:rPr>
            </w:pPr>
            <w:r w:rsidRPr="00BF7902">
              <w:rPr>
                <w:rFonts w:ascii="Times New Roman" w:eastAsia="Times New Roman" w:hAnsi="Times New Roman" w:cs="Times New Roman"/>
                <w:sz w:val="24"/>
                <w:szCs w:val="24"/>
              </w:rPr>
              <w:lastRenderedPageBreak/>
              <w:t>  </w:t>
            </w:r>
          </w:p>
        </w:tc>
        <w:tc>
          <w:tcPr>
            <w:tcW w:w="8996" w:type="dxa"/>
            <w:gridSpan w:val="2"/>
            <w:shd w:val="clear" w:color="auto" w:fill="305E76"/>
            <w:hideMark/>
          </w:tcPr>
          <w:p w:rsidR="00BF7902" w:rsidRPr="00BF7902" w:rsidRDefault="00BF7902" w:rsidP="00BF7902">
            <w:pPr>
              <w:spacing w:before="100" w:beforeAutospacing="1" w:after="100" w:afterAutospacing="1" w:line="240" w:lineRule="auto"/>
              <w:rPr>
                <w:rFonts w:ascii="Arial" w:eastAsia="Times New Roman" w:hAnsi="Arial" w:cs="Arial"/>
                <w:color w:val="FFFFFF"/>
                <w:sz w:val="18"/>
                <w:szCs w:val="18"/>
              </w:rPr>
            </w:pPr>
          </w:p>
          <w:p w:rsidR="00BF7902" w:rsidRPr="00BF7902" w:rsidRDefault="00BF7902" w:rsidP="00BF7902">
            <w:pPr>
              <w:spacing w:before="100" w:beforeAutospacing="1" w:after="100" w:afterAutospacing="1" w:line="240" w:lineRule="auto"/>
              <w:rPr>
                <w:rFonts w:ascii="Arial" w:eastAsia="Times New Roman" w:hAnsi="Arial" w:cs="Arial"/>
                <w:color w:val="FFFFFF"/>
                <w:sz w:val="18"/>
                <w:szCs w:val="18"/>
              </w:rPr>
            </w:pPr>
            <w:r w:rsidRPr="00BF7902">
              <w:rPr>
                <w:rFonts w:ascii="Arial" w:eastAsia="Times New Roman" w:hAnsi="Arial" w:cs="Arial"/>
                <w:color w:val="FFFFFF"/>
                <w:sz w:val="18"/>
                <w:szCs w:val="18"/>
              </w:rPr>
              <w:t>The AUCD (Association of University Centers on Disabilities) PROMISE TA Center produced this newsletter under a cooperative agreement with the U.S. Department of Education, Office of Special Education Programs associated with PR Award #H418P14. The contents of this newsletter do not necessarily represent the policy of the U.S. Department of Education, and you should not assume endorsement by the Federal Government.</w:t>
            </w:r>
          </w:p>
          <w:p w:rsidR="00BF7902" w:rsidRPr="00BF7902" w:rsidRDefault="003628F6" w:rsidP="00BF7902">
            <w:pPr>
              <w:spacing w:before="100" w:beforeAutospacing="1" w:after="100" w:afterAutospacing="1" w:line="240" w:lineRule="auto"/>
              <w:jc w:val="center"/>
              <w:rPr>
                <w:rFonts w:ascii="Arial" w:eastAsia="Times New Roman" w:hAnsi="Arial" w:cs="Arial"/>
                <w:color w:val="FFFFFF"/>
                <w:sz w:val="18"/>
                <w:szCs w:val="18"/>
              </w:rPr>
            </w:pPr>
            <w:hyperlink r:id="rId28" w:tgtFrame="_blank" w:history="1">
              <w:r w:rsidR="00BF7902" w:rsidRPr="00BF7902">
                <w:rPr>
                  <w:rFonts w:ascii="Arial" w:eastAsia="Times New Roman" w:hAnsi="Arial" w:cs="Arial"/>
                  <w:color w:val="FFFFFF"/>
                  <w:sz w:val="18"/>
                  <w:szCs w:val="18"/>
                  <w:u w:val="single"/>
                </w:rPr>
                <w:t>AUCD</w:t>
              </w:r>
            </w:hyperlink>
            <w:r w:rsidR="00326990">
              <w:rPr>
                <w:rFonts w:ascii="Arial" w:eastAsia="Times New Roman" w:hAnsi="Arial" w:cs="Arial"/>
                <w:color w:val="FFFFFF"/>
                <w:sz w:val="18"/>
                <w:szCs w:val="18"/>
              </w:rPr>
              <w:t xml:space="preserve"> | 1100 Wayne Avenue, Suite 1000</w:t>
            </w:r>
            <w:r w:rsidR="00BF7902" w:rsidRPr="00BF7902">
              <w:rPr>
                <w:rFonts w:ascii="Arial" w:eastAsia="Times New Roman" w:hAnsi="Arial" w:cs="Arial"/>
                <w:color w:val="FFFFFF"/>
                <w:sz w:val="18"/>
                <w:szCs w:val="18"/>
              </w:rPr>
              <w:t xml:space="preserve"> | Silver Spring | MD | 20910</w:t>
            </w:r>
          </w:p>
        </w:tc>
      </w:tr>
    </w:tbl>
    <w:p w:rsidR="003A5B42" w:rsidRPr="00DF2C08" w:rsidRDefault="003A5B42" w:rsidP="00DF2C08">
      <w:pPr>
        <w:rPr>
          <w:rFonts w:ascii="Garamond" w:hAnsi="Garamond"/>
          <w:sz w:val="24"/>
          <w:szCs w:val="24"/>
        </w:rPr>
      </w:pPr>
    </w:p>
    <w:sectPr w:rsidR="003A5B42" w:rsidRPr="00DF2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25A9"/>
    <w:multiLevelType w:val="hybridMultilevel"/>
    <w:tmpl w:val="72AA7FCC"/>
    <w:lvl w:ilvl="0" w:tplc="CD38902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08"/>
    <w:rsid w:val="001654FF"/>
    <w:rsid w:val="0022072B"/>
    <w:rsid w:val="002216B8"/>
    <w:rsid w:val="00326990"/>
    <w:rsid w:val="00361B87"/>
    <w:rsid w:val="003628F6"/>
    <w:rsid w:val="003A5B42"/>
    <w:rsid w:val="003D1EE3"/>
    <w:rsid w:val="00573907"/>
    <w:rsid w:val="00683698"/>
    <w:rsid w:val="006B3F81"/>
    <w:rsid w:val="007803EA"/>
    <w:rsid w:val="00817A56"/>
    <w:rsid w:val="00846C6C"/>
    <w:rsid w:val="00875B4D"/>
    <w:rsid w:val="008D32E8"/>
    <w:rsid w:val="00B3719D"/>
    <w:rsid w:val="00B90AAB"/>
    <w:rsid w:val="00BF6C9E"/>
    <w:rsid w:val="00BF7902"/>
    <w:rsid w:val="00D01E4C"/>
    <w:rsid w:val="00DE7423"/>
    <w:rsid w:val="00DF2C08"/>
    <w:rsid w:val="00E90B3F"/>
    <w:rsid w:val="00EB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EDEB7-A658-48AC-B9F6-DE81020A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C08"/>
    <w:pPr>
      <w:ind w:left="720"/>
      <w:contextualSpacing/>
    </w:pPr>
  </w:style>
  <w:style w:type="character" w:styleId="Hyperlink">
    <w:name w:val="Hyperlink"/>
    <w:basedOn w:val="DefaultParagraphFont"/>
    <w:uiPriority w:val="99"/>
    <w:unhideWhenUsed/>
    <w:rsid w:val="00BF7902"/>
    <w:rPr>
      <w:color w:val="0000FF"/>
      <w:u w:val="single"/>
    </w:rPr>
  </w:style>
  <w:style w:type="paragraph" w:styleId="NormalWeb">
    <w:name w:val="Normal (Web)"/>
    <w:basedOn w:val="Normal"/>
    <w:uiPriority w:val="99"/>
    <w:semiHidden/>
    <w:unhideWhenUsed/>
    <w:rsid w:val="00BF79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7902"/>
    <w:rPr>
      <w:b/>
      <w:bCs/>
    </w:rPr>
  </w:style>
  <w:style w:type="paragraph" w:styleId="BalloonText">
    <w:name w:val="Balloon Text"/>
    <w:basedOn w:val="Normal"/>
    <w:link w:val="BalloonTextChar"/>
    <w:uiPriority w:val="99"/>
    <w:semiHidden/>
    <w:unhideWhenUsed/>
    <w:rsid w:val="006B3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81"/>
    <w:rPr>
      <w:rFonts w:ascii="Segoe UI" w:hAnsi="Segoe UI" w:cs="Segoe UI"/>
      <w:sz w:val="18"/>
      <w:szCs w:val="18"/>
    </w:rPr>
  </w:style>
  <w:style w:type="character" w:styleId="FollowedHyperlink">
    <w:name w:val="FollowedHyperlink"/>
    <w:basedOn w:val="DefaultParagraphFont"/>
    <w:uiPriority w:val="99"/>
    <w:semiHidden/>
    <w:unhideWhenUsed/>
    <w:rsid w:val="00E90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749">
      <w:bodyDiv w:val="1"/>
      <w:marLeft w:val="0"/>
      <w:marRight w:val="0"/>
      <w:marTop w:val="0"/>
      <w:marBottom w:val="0"/>
      <w:divBdr>
        <w:top w:val="none" w:sz="0" w:space="0" w:color="auto"/>
        <w:left w:val="none" w:sz="0" w:space="0" w:color="auto"/>
        <w:bottom w:val="none" w:sz="0" w:space="0" w:color="auto"/>
        <w:right w:val="none" w:sz="0" w:space="0" w:color="auto"/>
      </w:divBdr>
    </w:div>
    <w:div w:id="499396357">
      <w:bodyDiv w:val="1"/>
      <w:marLeft w:val="0"/>
      <w:marRight w:val="0"/>
      <w:marTop w:val="0"/>
      <w:marBottom w:val="0"/>
      <w:divBdr>
        <w:top w:val="none" w:sz="0" w:space="0" w:color="auto"/>
        <w:left w:val="none" w:sz="0" w:space="0" w:color="auto"/>
        <w:bottom w:val="none" w:sz="0" w:space="0" w:color="auto"/>
        <w:right w:val="none" w:sz="0" w:space="0" w:color="auto"/>
      </w:divBdr>
    </w:div>
    <w:div w:id="80204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setacenter.org/archive/" TargetMode="External"/><Relationship Id="rId13" Type="http://schemas.openxmlformats.org/officeDocument/2006/relationships/image" Target="media/image4.png"/><Relationship Id="rId18" Type="http://schemas.openxmlformats.org/officeDocument/2006/relationships/hyperlink" Target="http://nasdse.org/DesktopModules/DNNspot-Store/ProductFiles/81_ac40fa7c-d960-4593-98da-7d43fc4373c5.pdf" TargetMode="External"/><Relationship Id="rId26" Type="http://schemas.openxmlformats.org/officeDocument/2006/relationships/hyperlink" Target="mailto:dbarnett@aucd.org" TargetMode="External"/><Relationship Id="rId3" Type="http://schemas.openxmlformats.org/officeDocument/2006/relationships/styles" Target="styles.xml"/><Relationship Id="rId21" Type="http://schemas.openxmlformats.org/officeDocument/2006/relationships/hyperlink" Target="http://studentaffairs.vancouver.wsu.edu/files/inserted-files/Preparing%20Students%20with%20Disabilities%20for%20Postsecondary%20Education.pdf" TargetMode="External"/><Relationship Id="rId7" Type="http://schemas.openxmlformats.org/officeDocument/2006/relationships/image" Target="media/image1.jpeg"/><Relationship Id="rId12" Type="http://schemas.openxmlformats.org/officeDocument/2006/relationships/hyperlink" Target="https://twitter.com/share?url=http://promisetacenter.org/july_edition_-_volume_11" TargetMode="External"/><Relationship Id="rId17" Type="http://schemas.openxmlformats.org/officeDocument/2006/relationships/hyperlink" Target="http://nasdse.org/DesktopModules/DNNspot-Store/ProductFiles/81_ac40fa7c-d960-4593-98da-7d43fc4373c5.pdf" TargetMode="External"/><Relationship Id="rId25" Type="http://schemas.openxmlformats.org/officeDocument/2006/relationships/hyperlink" Target="http://www.promisetacenter.org/promise_ta_grantees_listserv"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tudentaffairs.vancouver.wsu.edu/files/inserted-files/Preparing%20Students%20with%20Disabilities%20for%20Postsecondary%20Educatio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romisetacenter.org/" TargetMode="External"/><Relationship Id="rId11" Type="http://schemas.openxmlformats.org/officeDocument/2006/relationships/image" Target="media/image3.png"/><Relationship Id="rId24" Type="http://schemas.openxmlformats.org/officeDocument/2006/relationships/hyperlink" Target="http://www.promisetacenter.org" TargetMode="External"/><Relationship Id="rId5" Type="http://schemas.openxmlformats.org/officeDocument/2006/relationships/webSettings" Target="webSettings.xml"/><Relationship Id="rId15" Type="http://schemas.openxmlformats.org/officeDocument/2006/relationships/hyperlink" Target="http://www.pacer.org/publications/MDE-Toolkit-2013.pdf" TargetMode="External"/><Relationship Id="rId23" Type="http://schemas.openxmlformats.org/officeDocument/2006/relationships/hyperlink" Target="http://centerontransition.org/documents/publications/Fostering_SelfDetermination_in_Higher_Education.pdf" TargetMode="External"/><Relationship Id="rId28" Type="http://schemas.openxmlformats.org/officeDocument/2006/relationships/hyperlink" Target="http://www.aucd.org" TargetMode="External"/><Relationship Id="rId10" Type="http://schemas.openxmlformats.org/officeDocument/2006/relationships/hyperlink" Target="http://www.aucd.org/docs/PromiseTA/2015/PROMISE%20TA%20Center%20Newsletter%20Accessible%202015%20July.pdf"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image" Target="media/image8.jpg"/><Relationship Id="rId27" Type="http://schemas.openxmlformats.org/officeDocument/2006/relationships/hyperlink" Target="mailto:mgm@aucd.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A48E1-881B-4935-BB5A-8CD09B03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D'Leon Barnett</dc:creator>
  <cp:keywords/>
  <dc:description/>
  <cp:lastModifiedBy>Oksana Klimova</cp:lastModifiedBy>
  <cp:revision>2</cp:revision>
  <cp:lastPrinted>2015-07-29T19:56:00Z</cp:lastPrinted>
  <dcterms:created xsi:type="dcterms:W3CDTF">2015-08-25T22:13:00Z</dcterms:created>
  <dcterms:modified xsi:type="dcterms:W3CDTF">2015-08-25T22:13:00Z</dcterms:modified>
</cp:coreProperties>
</file>